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7C0C7">
      <w:pPr>
        <w:jc w:val="left"/>
        <w:rPr>
          <w:rFonts w:ascii="Arial" w:hAnsi="Arial" w:eastAsia="宋体" w:cs="Arial"/>
          <w:sz w:val="28"/>
        </w:rPr>
      </w:pPr>
      <w:r>
        <w:rPr>
          <w:rFonts w:ascii="Arial" w:hAnsi="Arial" w:eastAsia="宋体" w:cs="Arial"/>
          <w:b/>
          <w:bCs/>
          <w:sz w:val="28"/>
        </w:rPr>
        <w:t>附件</w:t>
      </w:r>
      <w:r>
        <w:rPr>
          <w:rFonts w:hint="eastAsia" w:ascii="Arial" w:hAnsi="Arial" w:eastAsia="宋体" w:cs="Arial"/>
          <w:b/>
          <w:bCs/>
          <w:sz w:val="28"/>
          <w:lang w:val="en-US" w:eastAsia="zh-CN"/>
        </w:rPr>
        <w:t>1</w:t>
      </w:r>
      <w:r>
        <w:rPr>
          <w:rFonts w:ascii="Arial" w:hAnsi="Arial" w:eastAsia="宋体" w:cs="Arial"/>
          <w:sz w:val="28"/>
        </w:rPr>
        <w:t>：</w:t>
      </w:r>
    </w:p>
    <w:p w14:paraId="59C0857D">
      <w:pPr>
        <w:keepNext w:val="0"/>
        <w:keepLines w:val="0"/>
        <w:pageBreakBefore w:val="0"/>
        <w:widowControl w:val="0"/>
        <w:kinsoku/>
        <w:wordWrap/>
        <w:overflowPunct/>
        <w:topLinePunct w:val="0"/>
        <w:autoSpaceDE/>
        <w:autoSpaceDN/>
        <w:bidi w:val="0"/>
        <w:adjustRightInd/>
        <w:snapToGrid w:val="0"/>
        <w:spacing w:line="420" w:lineRule="exact"/>
        <w:ind w:firstLine="0" w:firstLineChars="0"/>
        <w:jc w:val="center"/>
        <w:textAlignment w:val="auto"/>
        <w:rPr>
          <w:rFonts w:hint="eastAsia" w:ascii="Arial" w:hAnsi="Arial" w:eastAsia="宋体" w:cs="Arial"/>
          <w:b/>
          <w:bCs/>
          <w:sz w:val="28"/>
          <w:lang w:val="en-US" w:eastAsia="zh-CN"/>
        </w:rPr>
      </w:pPr>
      <w:r>
        <w:rPr>
          <w:rFonts w:hint="eastAsia" w:ascii="Arial" w:hAnsi="Arial" w:eastAsia="宋体" w:cs="Arial"/>
          <w:b/>
          <w:bCs/>
          <w:sz w:val="28"/>
          <w:lang w:val="en-US" w:eastAsia="zh-CN"/>
        </w:rPr>
        <w:t>采购需求</w:t>
      </w:r>
    </w:p>
    <w:p w14:paraId="00C12FB1">
      <w:pPr>
        <w:spacing w:line="400" w:lineRule="exact"/>
        <w:ind w:firstLine="422" w:firstLineChars="200"/>
        <w:jc w:val="left"/>
        <w:rPr>
          <w:rFonts w:hint="eastAsia" w:ascii="宋体" w:hAnsi="宋体" w:eastAsia="宋体" w:cs="宋体"/>
          <w:b/>
          <w:bCs/>
          <w:color w:val="0000FF"/>
          <w:sz w:val="21"/>
          <w:szCs w:val="21"/>
        </w:rPr>
      </w:pPr>
      <w:r>
        <w:rPr>
          <w:rFonts w:hint="eastAsia" w:ascii="宋体" w:hAnsi="宋体" w:eastAsia="宋体" w:cs="宋体"/>
          <w:b/>
          <w:bCs/>
          <w:color w:val="0000FF"/>
          <w:sz w:val="21"/>
          <w:szCs w:val="21"/>
        </w:rPr>
        <w:t>特别说明：</w:t>
      </w:r>
    </w:p>
    <w:p w14:paraId="30B52B3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color w:val="0000FF"/>
          <w:sz w:val="21"/>
          <w:szCs w:val="21"/>
        </w:rPr>
      </w:pPr>
      <w:r>
        <w:rPr>
          <w:rFonts w:hint="eastAsia" w:ascii="宋体" w:hAnsi="宋体" w:eastAsia="宋体" w:cs="宋体"/>
          <w:b/>
          <w:bCs/>
          <w:color w:val="0000FF"/>
          <w:sz w:val="21"/>
          <w:szCs w:val="21"/>
        </w:rPr>
        <w:t>1.投标人在投标文件中参照《商务响应偏离表》、《技术响应偏离表》对采购需求条款进行全面响应。</w:t>
      </w:r>
    </w:p>
    <w:p w14:paraId="53712CF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color w:val="0000FF"/>
          <w:sz w:val="21"/>
          <w:szCs w:val="21"/>
        </w:rPr>
      </w:pPr>
      <w:r>
        <w:rPr>
          <w:rFonts w:hint="eastAsia" w:ascii="宋体" w:hAnsi="宋体" w:eastAsia="宋体" w:cs="宋体"/>
          <w:b/>
          <w:bCs/>
          <w:color w:val="0000FF"/>
          <w:sz w:val="21"/>
          <w:szCs w:val="21"/>
        </w:rPr>
        <w:t>2.本章标“★”号的条款为实质性条款要求，任意一项不响应的将作为无效投标处理。</w:t>
      </w:r>
    </w:p>
    <w:p w14:paraId="0B9722B0">
      <w:pPr>
        <w:spacing w:line="400" w:lineRule="exact"/>
        <w:jc w:val="left"/>
        <w:rPr>
          <w:rFonts w:hint="eastAsia" w:ascii="宋体" w:hAnsi="宋体" w:eastAsia="宋体" w:cs="宋体"/>
          <w:b w:val="0"/>
          <w:bCs w:val="0"/>
          <w:sz w:val="21"/>
          <w:szCs w:val="21"/>
          <w:lang w:val="en-US" w:eastAsia="zh-CN"/>
        </w:rPr>
      </w:pPr>
      <w:r>
        <w:rPr>
          <w:rFonts w:hint="eastAsia" w:ascii="宋体" w:hAnsi="宋体" w:eastAsia="宋体" w:cs="宋体"/>
          <w:b/>
          <w:bCs/>
          <w:sz w:val="21"/>
          <w:szCs w:val="21"/>
        </w:rPr>
        <w:t>一、</w:t>
      </w:r>
      <w:r>
        <w:rPr>
          <w:rFonts w:hint="eastAsia" w:ascii="宋体" w:hAnsi="宋体" w:eastAsia="宋体" w:cs="宋体"/>
          <w:b/>
          <w:bCs/>
          <w:sz w:val="21"/>
          <w:szCs w:val="21"/>
          <w:lang w:val="en-US" w:eastAsia="zh-CN"/>
        </w:rPr>
        <w:t>项目概况</w:t>
      </w:r>
      <w:r>
        <w:rPr>
          <w:rFonts w:hint="eastAsia" w:ascii="宋体" w:hAnsi="宋体" w:eastAsia="宋体" w:cs="宋体"/>
          <w:b w:val="0"/>
          <w:bCs w:val="0"/>
          <w:sz w:val="21"/>
          <w:szCs w:val="21"/>
        </w:rPr>
        <w:t>：</w:t>
      </w:r>
    </w:p>
    <w:p w14:paraId="62F3202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采购标的</w:t>
      </w:r>
    </w:p>
    <w:p w14:paraId="53D87F9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1.1</w:t>
      </w:r>
      <w:r>
        <w:rPr>
          <w:rFonts w:hint="eastAsia" w:ascii="宋体" w:hAnsi="宋体" w:eastAsia="宋体" w:cs="宋体"/>
          <w:sz w:val="21"/>
          <w:szCs w:val="21"/>
        </w:rPr>
        <w:t>项目名称：</w:t>
      </w:r>
      <w:r>
        <w:rPr>
          <w:rFonts w:hint="eastAsia" w:ascii="宋体" w:hAnsi="宋体" w:eastAsia="宋体" w:cs="宋体"/>
          <w:sz w:val="21"/>
          <w:szCs w:val="21"/>
          <w:lang w:eastAsia="zh-CN"/>
        </w:rPr>
        <w:t>武汉思久高级中学校服采购</w:t>
      </w:r>
    </w:p>
    <w:p w14:paraId="1D1D538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数量：</w:t>
      </w:r>
      <w:r>
        <w:rPr>
          <w:rFonts w:hint="eastAsia" w:ascii="宋体" w:hAnsi="宋体" w:eastAsia="宋体" w:cs="宋体"/>
          <w:color w:val="auto"/>
          <w:sz w:val="21"/>
          <w:szCs w:val="21"/>
          <w:lang w:val="en-US" w:eastAsia="zh-CN"/>
        </w:rPr>
        <w:t>1批</w:t>
      </w:r>
      <w:r>
        <w:rPr>
          <w:rFonts w:hint="eastAsia" w:ascii="宋体" w:hAnsi="宋体" w:eastAsia="宋体" w:cs="宋体"/>
          <w:sz w:val="21"/>
          <w:szCs w:val="21"/>
          <w:lang w:val="en-US" w:eastAsia="zh-CN"/>
        </w:rPr>
        <w:t>，</w:t>
      </w:r>
      <w:r>
        <w:rPr>
          <w:rFonts w:hint="eastAsia" w:ascii="宋体" w:hAnsi="宋体" w:eastAsia="宋体" w:cs="宋体"/>
          <w:sz w:val="21"/>
          <w:szCs w:val="21"/>
        </w:rPr>
        <w:t>详见附表；</w:t>
      </w:r>
    </w:p>
    <w:p w14:paraId="661AC0E8">
      <w:pPr>
        <w:keepNext w:val="0"/>
        <w:keepLines w:val="0"/>
        <w:pageBreakBefore w:val="0"/>
        <w:widowControl w:val="0"/>
        <w:kinsoku/>
        <w:wordWrap/>
        <w:overflowPunct/>
        <w:topLinePunct w:val="0"/>
        <w:autoSpaceDE/>
        <w:autoSpaceDN/>
        <w:bidi w:val="0"/>
        <w:adjustRightInd/>
        <w:snapToGrid w:val="0"/>
        <w:spacing w:line="420" w:lineRule="exact"/>
        <w:ind w:firstLine="420" w:firstLineChars="200"/>
        <w:textAlignment w:val="auto"/>
        <w:rPr>
          <w:rFonts w:hint="eastAsia" w:ascii="宋体" w:hAnsi="宋体" w:eastAsia="宋体" w:cs="Arial"/>
          <w:sz w:val="21"/>
          <w:szCs w:val="21"/>
          <w:lang w:val="en-US" w:eastAsia="zh-CN"/>
        </w:rPr>
      </w:pPr>
      <w:r>
        <w:rPr>
          <w:rFonts w:hint="eastAsia" w:ascii="宋体" w:hAnsi="宋体" w:eastAsia="宋体" w:cs="宋体"/>
          <w:sz w:val="21"/>
          <w:szCs w:val="21"/>
          <w:lang w:val="en-US" w:eastAsia="zh-CN"/>
        </w:rPr>
        <w:t>1.3</w:t>
      </w:r>
      <w:r>
        <w:rPr>
          <w:rFonts w:hint="eastAsia" w:ascii="宋体" w:hAnsi="宋体" w:eastAsia="宋体" w:cs="宋体"/>
          <w:color w:val="auto"/>
          <w:sz w:val="21"/>
          <w:szCs w:val="21"/>
          <w:lang w:val="en-US" w:eastAsia="zh-CN"/>
        </w:rPr>
        <w:t>最高限价：</w:t>
      </w:r>
      <w:r>
        <w:rPr>
          <w:rFonts w:hint="eastAsia" w:ascii="宋体" w:hAnsi="宋体" w:eastAsia="宋体" w:cs="Arial"/>
          <w:sz w:val="21"/>
          <w:szCs w:val="21"/>
          <w:lang w:val="en-US" w:eastAsia="zh-CN"/>
        </w:rPr>
        <w:t>210元/ 每人（春秋校服一套和夏装一件），其中单件最高限价如下：</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878"/>
        <w:gridCol w:w="1707"/>
        <w:gridCol w:w="1915"/>
        <w:gridCol w:w="2045"/>
        <w:gridCol w:w="1245"/>
      </w:tblGrid>
      <w:tr w14:paraId="351B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32" w:type="dxa"/>
            <w:noWrap w:val="0"/>
            <w:vAlign w:val="center"/>
          </w:tcPr>
          <w:p w14:paraId="4C64556C">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序号</w:t>
            </w:r>
          </w:p>
        </w:tc>
        <w:tc>
          <w:tcPr>
            <w:tcW w:w="878" w:type="dxa"/>
            <w:noWrap w:val="0"/>
            <w:vAlign w:val="center"/>
          </w:tcPr>
          <w:p w14:paraId="1C915EC9">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品名</w:t>
            </w:r>
          </w:p>
        </w:tc>
        <w:tc>
          <w:tcPr>
            <w:tcW w:w="1707" w:type="dxa"/>
            <w:noWrap w:val="0"/>
            <w:vAlign w:val="center"/>
          </w:tcPr>
          <w:p w14:paraId="277FC3FE">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款式</w:t>
            </w:r>
          </w:p>
        </w:tc>
        <w:tc>
          <w:tcPr>
            <w:tcW w:w="1915" w:type="dxa"/>
            <w:noWrap w:val="0"/>
            <w:vAlign w:val="center"/>
          </w:tcPr>
          <w:p w14:paraId="3F06EC88">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kern w:val="2"/>
                <w:sz w:val="21"/>
                <w:szCs w:val="21"/>
                <w:vertAlign w:val="baseline"/>
                <w:lang w:val="en-US" w:eastAsia="zh-CN" w:bidi="ar-SA"/>
              </w:rPr>
              <w:t>面料成分</w:t>
            </w:r>
            <w:r>
              <w:rPr>
                <w:rFonts w:hint="eastAsia" w:ascii="宋体" w:hAnsi="宋体" w:eastAsia="宋体" w:cs="宋体"/>
                <w:b w:val="0"/>
                <w:bCs w:val="0"/>
                <w:color w:val="000000"/>
                <w:sz w:val="21"/>
                <w:szCs w:val="21"/>
                <w:vertAlign w:val="baseline"/>
                <w:lang w:val="en-US" w:eastAsia="zh-CN"/>
              </w:rPr>
              <w:t>说明</w:t>
            </w:r>
          </w:p>
        </w:tc>
        <w:tc>
          <w:tcPr>
            <w:tcW w:w="2045" w:type="dxa"/>
            <w:noWrap w:val="0"/>
            <w:vAlign w:val="center"/>
          </w:tcPr>
          <w:p w14:paraId="13E6053B">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样式</w:t>
            </w:r>
          </w:p>
        </w:tc>
        <w:tc>
          <w:tcPr>
            <w:tcW w:w="1245" w:type="dxa"/>
            <w:noWrap w:val="0"/>
            <w:vAlign w:val="center"/>
          </w:tcPr>
          <w:p w14:paraId="0BF5CA2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最高限价</w:t>
            </w:r>
          </w:p>
        </w:tc>
      </w:tr>
      <w:tr w14:paraId="5378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732" w:type="dxa"/>
            <w:noWrap w:val="0"/>
            <w:vAlign w:val="center"/>
          </w:tcPr>
          <w:p w14:paraId="2EF15A6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1</w:t>
            </w:r>
          </w:p>
        </w:tc>
        <w:tc>
          <w:tcPr>
            <w:tcW w:w="878" w:type="dxa"/>
            <w:noWrap w:val="0"/>
            <w:vAlign w:val="center"/>
          </w:tcPr>
          <w:p w14:paraId="5191350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夏季</w:t>
            </w:r>
          </w:p>
          <w:p w14:paraId="08F1DD5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校服</w:t>
            </w:r>
          </w:p>
        </w:tc>
        <w:tc>
          <w:tcPr>
            <w:tcW w:w="1707" w:type="dxa"/>
            <w:noWrap w:val="0"/>
            <w:vAlign w:val="center"/>
          </w:tcPr>
          <w:p w14:paraId="02BD2EB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短袖T恤</w:t>
            </w:r>
          </w:p>
          <w:p w14:paraId="41514A1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（男女同款）</w:t>
            </w:r>
          </w:p>
        </w:tc>
        <w:tc>
          <w:tcPr>
            <w:tcW w:w="1915" w:type="dxa"/>
            <w:noWrap w:val="0"/>
            <w:vAlign w:val="center"/>
          </w:tcPr>
          <w:p w14:paraId="4A2FE3C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灰色拼藏青</w:t>
            </w:r>
          </w:p>
          <w:p w14:paraId="25546DD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（棉60%</w:t>
            </w:r>
          </w:p>
          <w:p w14:paraId="7167411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聚酯纤维40%）</w:t>
            </w:r>
          </w:p>
        </w:tc>
        <w:tc>
          <w:tcPr>
            <w:tcW w:w="2045" w:type="dxa"/>
            <w:noWrap w:val="0"/>
            <w:vAlign w:val="top"/>
          </w:tcPr>
          <w:p w14:paraId="20C78E94">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sz w:val="21"/>
                <w:szCs w:val="21"/>
                <w:vertAlign w:val="baseline"/>
                <w:lang w:val="en-US" w:eastAsia="zh-CN"/>
              </w:rPr>
            </w:pPr>
            <w:r>
              <w:drawing>
                <wp:anchor distT="0" distB="0" distL="114300" distR="114300" simplePos="0" relativeHeight="251661312" behindDoc="1" locked="0" layoutInCell="1" allowOverlap="1">
                  <wp:simplePos x="0" y="0"/>
                  <wp:positionH relativeFrom="column">
                    <wp:posOffset>28575</wp:posOffset>
                  </wp:positionH>
                  <wp:positionV relativeFrom="paragraph">
                    <wp:posOffset>238125</wp:posOffset>
                  </wp:positionV>
                  <wp:extent cx="1114425" cy="876300"/>
                  <wp:effectExtent l="0" t="0" r="9525" b="0"/>
                  <wp:wrapTight wrapText="bothSides">
                    <wp:wrapPolygon>
                      <wp:start x="0" y="0"/>
                      <wp:lineTo x="0" y="21130"/>
                      <wp:lineTo x="21415" y="21130"/>
                      <wp:lineTo x="21415" y="0"/>
                      <wp:lineTo x="0" y="0"/>
                    </wp:wrapPolygon>
                  </wp:wrapTight>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4"/>
                          <a:stretch>
                            <a:fillRect/>
                          </a:stretch>
                        </pic:blipFill>
                        <pic:spPr>
                          <a:xfrm>
                            <a:off x="0" y="0"/>
                            <a:ext cx="1114425" cy="876300"/>
                          </a:xfrm>
                          <a:prstGeom prst="rect">
                            <a:avLst/>
                          </a:prstGeom>
                          <a:noFill/>
                          <a:ln>
                            <a:noFill/>
                          </a:ln>
                        </pic:spPr>
                      </pic:pic>
                    </a:graphicData>
                  </a:graphic>
                </wp:anchor>
              </w:drawing>
            </w:r>
          </w:p>
        </w:tc>
        <w:tc>
          <w:tcPr>
            <w:tcW w:w="1245" w:type="dxa"/>
            <w:noWrap w:val="0"/>
            <w:vAlign w:val="top"/>
          </w:tcPr>
          <w:p w14:paraId="29240D2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6D15595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3E39BAA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50元/件</w:t>
            </w:r>
          </w:p>
        </w:tc>
      </w:tr>
      <w:tr w14:paraId="6EBF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732" w:type="dxa"/>
            <w:noWrap w:val="0"/>
            <w:vAlign w:val="center"/>
          </w:tcPr>
          <w:p w14:paraId="209160C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2</w:t>
            </w:r>
          </w:p>
        </w:tc>
        <w:tc>
          <w:tcPr>
            <w:tcW w:w="878" w:type="dxa"/>
            <w:noWrap w:val="0"/>
            <w:vAlign w:val="center"/>
          </w:tcPr>
          <w:p w14:paraId="4B5193D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春秋</w:t>
            </w:r>
          </w:p>
          <w:p w14:paraId="7553174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校服</w:t>
            </w:r>
          </w:p>
        </w:tc>
        <w:tc>
          <w:tcPr>
            <w:tcW w:w="1707" w:type="dxa"/>
            <w:noWrap w:val="0"/>
            <w:vAlign w:val="center"/>
          </w:tcPr>
          <w:p w14:paraId="33F0164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运动款长袖</w:t>
            </w:r>
          </w:p>
          <w:p w14:paraId="4BD83B4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（男女同款）</w:t>
            </w:r>
          </w:p>
        </w:tc>
        <w:tc>
          <w:tcPr>
            <w:tcW w:w="1915" w:type="dxa"/>
            <w:noWrap w:val="0"/>
            <w:vAlign w:val="center"/>
          </w:tcPr>
          <w:p w14:paraId="61AF73C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上衣藏青色拼白色（棉40%</w:t>
            </w:r>
          </w:p>
          <w:p w14:paraId="1175084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聚酯纤维60%）</w:t>
            </w:r>
          </w:p>
        </w:tc>
        <w:tc>
          <w:tcPr>
            <w:tcW w:w="2045" w:type="dxa"/>
            <w:noWrap w:val="0"/>
            <w:vAlign w:val="top"/>
          </w:tcPr>
          <w:p w14:paraId="6EEEA60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drawing>
                <wp:anchor distT="0" distB="0" distL="114300" distR="114300" simplePos="0" relativeHeight="251660288" behindDoc="0" locked="0" layoutInCell="1" allowOverlap="1">
                  <wp:simplePos x="0" y="0"/>
                  <wp:positionH relativeFrom="column">
                    <wp:posOffset>228600</wp:posOffset>
                  </wp:positionH>
                  <wp:positionV relativeFrom="paragraph">
                    <wp:posOffset>189865</wp:posOffset>
                  </wp:positionV>
                  <wp:extent cx="687070" cy="762000"/>
                  <wp:effectExtent l="0" t="0" r="17780" b="0"/>
                  <wp:wrapSquare wrapText="bothSides"/>
                  <wp:docPr id="5" name="图片 3" descr="6e31e07b58a95f49bc6e5ee942c2f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6e31e07b58a95f49bc6e5ee942c2f702"/>
                          <pic:cNvPicPr>
                            <a:picLocks noChangeAspect="1"/>
                          </pic:cNvPicPr>
                        </pic:nvPicPr>
                        <pic:blipFill>
                          <a:blip r:embed="rId5"/>
                          <a:srcRect t="11266" r="37672" b="19048"/>
                          <a:stretch>
                            <a:fillRect/>
                          </a:stretch>
                        </pic:blipFill>
                        <pic:spPr>
                          <a:xfrm>
                            <a:off x="0" y="0"/>
                            <a:ext cx="687070" cy="762000"/>
                          </a:xfrm>
                          <a:prstGeom prst="rect">
                            <a:avLst/>
                          </a:prstGeom>
                          <a:noFill/>
                          <a:ln>
                            <a:noFill/>
                          </a:ln>
                        </pic:spPr>
                      </pic:pic>
                    </a:graphicData>
                  </a:graphic>
                </wp:anchor>
              </w:drawing>
            </w:r>
          </w:p>
        </w:tc>
        <w:tc>
          <w:tcPr>
            <w:tcW w:w="1245" w:type="dxa"/>
            <w:noWrap w:val="0"/>
            <w:vAlign w:val="top"/>
          </w:tcPr>
          <w:p w14:paraId="4AFEB08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0ACD2B9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0701E82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105元/件</w:t>
            </w:r>
          </w:p>
        </w:tc>
      </w:tr>
      <w:tr w14:paraId="5EF5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732" w:type="dxa"/>
            <w:noWrap w:val="0"/>
            <w:vAlign w:val="center"/>
          </w:tcPr>
          <w:p w14:paraId="05AEAD8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3</w:t>
            </w:r>
          </w:p>
        </w:tc>
        <w:tc>
          <w:tcPr>
            <w:tcW w:w="878" w:type="dxa"/>
            <w:noWrap w:val="0"/>
            <w:vAlign w:val="center"/>
          </w:tcPr>
          <w:p w14:paraId="3A1D49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春秋</w:t>
            </w:r>
          </w:p>
          <w:p w14:paraId="61A0DD5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校服</w:t>
            </w:r>
          </w:p>
        </w:tc>
        <w:tc>
          <w:tcPr>
            <w:tcW w:w="1707" w:type="dxa"/>
            <w:noWrap w:val="0"/>
            <w:vAlign w:val="center"/>
          </w:tcPr>
          <w:p w14:paraId="461A574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运动款长裤</w:t>
            </w:r>
          </w:p>
          <w:p w14:paraId="740225E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（男女同款）</w:t>
            </w:r>
          </w:p>
        </w:tc>
        <w:tc>
          <w:tcPr>
            <w:tcW w:w="1915" w:type="dxa"/>
            <w:noWrap w:val="0"/>
            <w:vAlign w:val="center"/>
          </w:tcPr>
          <w:p w14:paraId="4D35D49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裤子藏青色</w:t>
            </w:r>
          </w:p>
          <w:p w14:paraId="0035391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（棉40%</w:t>
            </w:r>
          </w:p>
          <w:p w14:paraId="7D03FED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聚酯纤维60%）</w:t>
            </w:r>
          </w:p>
        </w:tc>
        <w:tc>
          <w:tcPr>
            <w:tcW w:w="2045" w:type="dxa"/>
            <w:noWrap w:val="0"/>
            <w:vAlign w:val="top"/>
          </w:tcPr>
          <w:p w14:paraId="12C81FF7">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drawing>
                <wp:anchor distT="0" distB="0" distL="114300" distR="114300" simplePos="0" relativeHeight="251659264" behindDoc="1" locked="0" layoutInCell="1" allowOverlap="1">
                  <wp:simplePos x="0" y="0"/>
                  <wp:positionH relativeFrom="column">
                    <wp:posOffset>390525</wp:posOffset>
                  </wp:positionH>
                  <wp:positionV relativeFrom="paragraph">
                    <wp:posOffset>6985</wp:posOffset>
                  </wp:positionV>
                  <wp:extent cx="390525" cy="909320"/>
                  <wp:effectExtent l="0" t="0" r="9525" b="5080"/>
                  <wp:wrapTight wrapText="bothSides">
                    <wp:wrapPolygon>
                      <wp:start x="0" y="0"/>
                      <wp:lineTo x="0" y="21268"/>
                      <wp:lineTo x="20371" y="21268"/>
                      <wp:lineTo x="20371" y="0"/>
                      <wp:lineTo x="0" y="0"/>
                    </wp:wrapPolygon>
                  </wp:wrapTight>
                  <wp:docPr id="4" name="图片 4" descr="6e31e07b58a95f49bc6e5ee942c2f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e31e07b58a95f49bc6e5ee942c2f702"/>
                          <pic:cNvPicPr>
                            <a:picLocks noChangeAspect="1"/>
                          </pic:cNvPicPr>
                        </pic:nvPicPr>
                        <pic:blipFill>
                          <a:blip r:embed="rId5"/>
                          <a:srcRect l="63191" t="6969" r="1382" b="9872"/>
                          <a:stretch>
                            <a:fillRect/>
                          </a:stretch>
                        </pic:blipFill>
                        <pic:spPr>
                          <a:xfrm>
                            <a:off x="0" y="0"/>
                            <a:ext cx="390525" cy="909320"/>
                          </a:xfrm>
                          <a:prstGeom prst="rect">
                            <a:avLst/>
                          </a:prstGeom>
                          <a:noFill/>
                          <a:ln>
                            <a:noFill/>
                          </a:ln>
                        </pic:spPr>
                      </pic:pic>
                    </a:graphicData>
                  </a:graphic>
                </wp:anchor>
              </w:drawing>
            </w:r>
          </w:p>
        </w:tc>
        <w:tc>
          <w:tcPr>
            <w:tcW w:w="1245" w:type="dxa"/>
            <w:noWrap w:val="0"/>
            <w:vAlign w:val="center"/>
          </w:tcPr>
          <w:p w14:paraId="1D1A95D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55元/件</w:t>
            </w:r>
          </w:p>
        </w:tc>
      </w:tr>
      <w:tr w14:paraId="0131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8522" w:type="dxa"/>
            <w:gridSpan w:val="6"/>
            <w:noWrap w:val="0"/>
            <w:vAlign w:val="center"/>
          </w:tcPr>
          <w:p w14:paraId="30AF63D0">
            <w:pPr>
              <w:keepNext w:val="0"/>
              <w:keepLines w:val="0"/>
              <w:pageBreakBefore w:val="0"/>
              <w:widowControl w:val="0"/>
              <w:numPr>
                <w:ilvl w:val="0"/>
                <w:numId w:val="1"/>
              </w:numPr>
              <w:kinsoku/>
              <w:wordWrap w:val="0"/>
              <w:overflowPunct/>
              <w:topLinePunct w:val="0"/>
              <w:autoSpaceDE/>
              <w:autoSpaceDN/>
              <w:bidi w:val="0"/>
              <w:adjustRightInd/>
              <w:snapToGrid/>
              <w:spacing w:line="36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订购群体为2025级高二年级学生和2026级高一年级学生，数量预估500人，数量以实际结算数量为准。</w:t>
            </w:r>
          </w:p>
          <w:p w14:paraId="41DEE1C4">
            <w:pPr>
              <w:keepNext w:val="0"/>
              <w:keepLines w:val="0"/>
              <w:pageBreakBefore w:val="0"/>
              <w:widowControl w:val="0"/>
              <w:numPr>
                <w:ilvl w:val="0"/>
                <w:numId w:val="0"/>
              </w:numPr>
              <w:kinsoku/>
              <w:wordWrap w:val="0"/>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sz w:val="21"/>
                <w:szCs w:val="21"/>
                <w:lang w:val="en-US" w:eastAsia="zh-CN"/>
              </w:rPr>
              <w:t>2.校服为自愿购买，为学校代办项目，采购具体数量（套数）以学生最终订购数为准。</w:t>
            </w:r>
          </w:p>
        </w:tc>
      </w:tr>
    </w:tbl>
    <w:p w14:paraId="2316FA7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1.4</w:t>
      </w:r>
      <w:r>
        <w:rPr>
          <w:rFonts w:hint="eastAsia" w:ascii="宋体" w:hAnsi="宋体" w:eastAsia="宋体" w:cs="宋体"/>
          <w:sz w:val="21"/>
          <w:szCs w:val="21"/>
        </w:rPr>
        <w:t>本项目为单一产品采购项目，产品为：校服。采购标的物见附表。</w:t>
      </w:r>
    </w:p>
    <w:p w14:paraId="5E7B23F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采购标的需实现的功能或者目标</w:t>
      </w:r>
    </w:p>
    <w:p w14:paraId="5759F6F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color w:val="auto"/>
          <w:sz w:val="21"/>
          <w:szCs w:val="21"/>
          <w:highlight w:val="none"/>
        </w:rPr>
        <w:t>订购群体为2025级高二年级学生和2026级高一年级学生，数量预估500人</w:t>
      </w:r>
      <w:r>
        <w:rPr>
          <w:rFonts w:hint="eastAsia" w:ascii="宋体" w:hAnsi="宋体" w:eastAsia="宋体" w:cs="宋体"/>
          <w:color w:val="auto"/>
          <w:sz w:val="21"/>
          <w:szCs w:val="21"/>
          <w:highlight w:val="none"/>
          <w:lang w:val="en-US" w:eastAsia="zh-CN"/>
        </w:rPr>
        <w:t>，</w:t>
      </w:r>
      <w:r>
        <w:rPr>
          <w:rFonts w:hint="eastAsia" w:ascii="宋体" w:hAnsi="宋体" w:eastAsia="宋体" w:cs="宋体"/>
          <w:sz w:val="21"/>
          <w:szCs w:val="21"/>
        </w:rPr>
        <w:t>投标人应根据招标文件所提出的技术和服务要求，提供符合要求的货物及相应的伴随服务。</w:t>
      </w:r>
    </w:p>
    <w:p w14:paraId="1E99C4BA">
      <w:pPr>
        <w:spacing w:line="400" w:lineRule="exact"/>
        <w:jc w:val="left"/>
        <w:rPr>
          <w:rFonts w:hint="eastAsia" w:ascii="宋体" w:hAnsi="宋体" w:eastAsia="宋体" w:cs="宋体"/>
          <w:b w:val="0"/>
          <w:bCs w:val="0"/>
          <w:sz w:val="21"/>
          <w:szCs w:val="21"/>
        </w:rPr>
      </w:pPr>
      <w:r>
        <w:rPr>
          <w:rFonts w:hint="eastAsia" w:ascii="宋体" w:hAnsi="宋体" w:eastAsia="宋体" w:cs="宋体"/>
          <w:b/>
          <w:bCs/>
          <w:sz w:val="21"/>
          <w:szCs w:val="21"/>
        </w:rPr>
        <w:t>二、需执行相关标准</w:t>
      </w:r>
      <w:r>
        <w:rPr>
          <w:rFonts w:hint="eastAsia" w:ascii="宋体" w:hAnsi="宋体" w:eastAsia="宋体" w:cs="宋体"/>
          <w:b/>
          <w:bCs/>
          <w:sz w:val="21"/>
          <w:szCs w:val="21"/>
          <w:lang w:val="en-US" w:eastAsia="zh-CN"/>
        </w:rPr>
        <w:t>及</w:t>
      </w:r>
      <w:r>
        <w:rPr>
          <w:rFonts w:hint="eastAsia" w:ascii="宋体" w:hAnsi="宋体" w:eastAsia="宋体" w:cs="宋体"/>
          <w:b/>
          <w:bCs/>
          <w:sz w:val="21"/>
          <w:szCs w:val="21"/>
        </w:rPr>
        <w:t>规范</w:t>
      </w:r>
      <w:r>
        <w:rPr>
          <w:rFonts w:hint="eastAsia" w:ascii="宋体" w:hAnsi="宋体" w:eastAsia="宋体" w:cs="宋体"/>
          <w:b w:val="0"/>
          <w:bCs w:val="0"/>
          <w:sz w:val="21"/>
          <w:szCs w:val="21"/>
        </w:rPr>
        <w:t>：</w:t>
      </w:r>
    </w:p>
    <w:p w14:paraId="1EDC95F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本次招标所采购</w:t>
      </w:r>
      <w:r>
        <w:rPr>
          <w:rFonts w:hint="eastAsia" w:ascii="宋体" w:hAnsi="宋体" w:eastAsia="宋体" w:cs="宋体"/>
          <w:sz w:val="21"/>
          <w:szCs w:val="21"/>
          <w:lang w:val="en-US" w:eastAsia="zh-CN"/>
        </w:rPr>
        <w:t>校服</w:t>
      </w:r>
      <w:r>
        <w:rPr>
          <w:rFonts w:hint="eastAsia" w:ascii="宋体" w:hAnsi="宋体" w:eastAsia="宋体" w:cs="宋体"/>
          <w:sz w:val="21"/>
          <w:szCs w:val="21"/>
        </w:rPr>
        <w:t>的生产、</w:t>
      </w:r>
      <w:r>
        <w:rPr>
          <w:rFonts w:hint="eastAsia" w:ascii="宋体" w:hAnsi="宋体" w:eastAsia="宋体" w:cs="宋体"/>
          <w:sz w:val="21"/>
          <w:szCs w:val="21"/>
          <w:lang w:val="en-US" w:eastAsia="zh-CN"/>
        </w:rPr>
        <w:t>包装</w:t>
      </w:r>
      <w:r>
        <w:rPr>
          <w:rFonts w:hint="eastAsia" w:ascii="宋体" w:hAnsi="宋体" w:eastAsia="宋体" w:cs="宋体"/>
          <w:sz w:val="21"/>
          <w:szCs w:val="21"/>
        </w:rPr>
        <w:t>等需满足国家相应的规范及标准。</w:t>
      </w:r>
    </w:p>
    <w:p w14:paraId="3C10F577">
      <w:pPr>
        <w:spacing w:line="400" w:lineRule="exact"/>
        <w:jc w:val="left"/>
        <w:rPr>
          <w:rFonts w:hint="eastAsia" w:ascii="宋体" w:hAnsi="宋体" w:eastAsia="宋体" w:cs="宋体"/>
          <w:b w:val="0"/>
          <w:bCs w:val="0"/>
          <w:sz w:val="21"/>
          <w:szCs w:val="21"/>
        </w:rPr>
      </w:pPr>
      <w:r>
        <w:rPr>
          <w:rFonts w:hint="eastAsia" w:ascii="宋体" w:hAnsi="宋体" w:eastAsia="宋体" w:cs="宋体"/>
          <w:b/>
          <w:bCs/>
          <w:sz w:val="21"/>
          <w:szCs w:val="21"/>
        </w:rPr>
        <w:t>三、采购标的要求</w:t>
      </w:r>
    </w:p>
    <w:p w14:paraId="6E7E5F3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详见附表。</w:t>
      </w:r>
    </w:p>
    <w:p w14:paraId="4BEB0610">
      <w:pPr>
        <w:spacing w:line="400" w:lineRule="exact"/>
        <w:jc w:val="left"/>
        <w:rPr>
          <w:rFonts w:hint="eastAsia" w:ascii="宋体" w:hAnsi="宋体" w:eastAsia="宋体" w:cs="宋体"/>
          <w:b w:val="0"/>
          <w:bCs w:val="0"/>
          <w:sz w:val="21"/>
          <w:szCs w:val="21"/>
        </w:rPr>
      </w:pPr>
      <w:r>
        <w:rPr>
          <w:rFonts w:hint="eastAsia" w:ascii="宋体" w:hAnsi="宋体" w:eastAsia="宋体" w:cs="宋体"/>
          <w:b/>
          <w:bCs/>
          <w:sz w:val="21"/>
          <w:szCs w:val="21"/>
        </w:rPr>
        <w:t>四、采购标的的数量、采购项目交付或者实施的时间和地点</w:t>
      </w:r>
    </w:p>
    <w:p w14:paraId="6140807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1.采购标的物及具体数量：</w:t>
      </w:r>
      <w:r>
        <w:rPr>
          <w:rFonts w:hint="eastAsia" w:ascii="宋体" w:hAnsi="宋体" w:eastAsia="宋体" w:cs="宋体"/>
          <w:kern w:val="2"/>
          <w:sz w:val="21"/>
          <w:szCs w:val="21"/>
          <w:lang w:val="en-US" w:eastAsia="zh-CN" w:bidi="ar-SA"/>
        </w:rPr>
        <w:t>每名学生采购春秋校服一套和夏装一件，样式和面料要求</w:t>
      </w:r>
      <w:r>
        <w:rPr>
          <w:rFonts w:hint="eastAsia" w:ascii="宋体" w:hAnsi="宋体" w:eastAsia="宋体" w:cs="宋体"/>
          <w:sz w:val="21"/>
          <w:szCs w:val="21"/>
          <w:lang w:val="en-US" w:eastAsia="zh-CN"/>
        </w:rPr>
        <w:t>详见附表。</w:t>
      </w:r>
    </w:p>
    <w:p w14:paraId="02F5D29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2.供货期：25天内完成供货</w:t>
      </w:r>
      <w:r>
        <w:rPr>
          <w:rFonts w:hint="eastAsia" w:ascii="宋体" w:hAnsi="宋体" w:eastAsia="宋体" w:cs="宋体"/>
          <w:kern w:val="2"/>
          <w:sz w:val="21"/>
          <w:szCs w:val="21"/>
          <w:lang w:val="en-US" w:eastAsia="zh-CN" w:bidi="ar-SA"/>
        </w:rPr>
        <w:t>。</w:t>
      </w:r>
    </w:p>
    <w:p w14:paraId="0DC97D8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3.采购项目交付地点：武汉市青山</w:t>
      </w:r>
      <w:r>
        <w:rPr>
          <w:rFonts w:hint="eastAsia" w:ascii="宋体" w:hAnsi="宋体" w:eastAsia="宋体" w:cs="宋体"/>
          <w:sz w:val="21"/>
          <w:szCs w:val="21"/>
          <w:lang w:val="en-US" w:eastAsia="zh-CN"/>
        </w:rPr>
        <w:t>区，采购人指定地点。</w:t>
      </w:r>
    </w:p>
    <w:p w14:paraId="7E1E955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4.中标公示期结束后，家长自愿在中标供应商提供的线上平台/线下门店（如有），按学生的实际穿着需求进行产品购买。</w:t>
      </w:r>
    </w:p>
    <w:p w14:paraId="46D9413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5.中标人应在家长下单后送货上门。</w:t>
      </w:r>
    </w:p>
    <w:p w14:paraId="43ADD5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1"/>
          <w:szCs w:val="21"/>
        </w:rPr>
      </w:pPr>
      <w:r>
        <w:rPr>
          <w:rFonts w:hint="eastAsia" w:ascii="宋体" w:hAnsi="宋体" w:eastAsia="宋体" w:cs="宋体"/>
          <w:b/>
          <w:bCs/>
          <w:sz w:val="21"/>
          <w:szCs w:val="21"/>
        </w:rPr>
        <w:t>五、</w:t>
      </w:r>
      <w:r>
        <w:rPr>
          <w:rFonts w:hint="eastAsia" w:ascii="宋体" w:hAnsi="宋体" w:eastAsia="宋体" w:cs="宋体"/>
          <w:b/>
          <w:bCs/>
          <w:sz w:val="21"/>
          <w:szCs w:val="21"/>
          <w:lang w:val="en-US" w:eastAsia="zh-CN"/>
        </w:rPr>
        <w:t>其他</w:t>
      </w:r>
      <w:r>
        <w:rPr>
          <w:rFonts w:hint="eastAsia" w:ascii="宋体" w:hAnsi="宋体" w:eastAsia="宋体" w:cs="宋体"/>
          <w:b/>
          <w:bCs/>
          <w:sz w:val="21"/>
          <w:szCs w:val="21"/>
        </w:rPr>
        <w:t>要求</w:t>
      </w:r>
      <w:r>
        <w:rPr>
          <w:rFonts w:hint="eastAsia" w:ascii="宋体" w:hAnsi="宋体" w:eastAsia="宋体" w:cs="宋体"/>
          <w:b w:val="0"/>
          <w:bCs w:val="0"/>
          <w:sz w:val="21"/>
          <w:szCs w:val="21"/>
        </w:rPr>
        <w:t xml:space="preserve"> </w:t>
      </w:r>
    </w:p>
    <w:p w14:paraId="1779FE5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投标产品要求由厂家（指产品生产厂家，或其负责销售、售后服务机构，以下同）负责标准售后服务的，投标人应当在投标文件中予以明确说明并附厂商售后服务证明文件。</w:t>
      </w:r>
    </w:p>
    <w:p w14:paraId="6BAF192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售后服务内容</w:t>
      </w:r>
    </w:p>
    <w:p w14:paraId="3BE655F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sz w:val="21"/>
          <w:szCs w:val="21"/>
        </w:rPr>
        <w:t>长期技术支持与维修服务</w:t>
      </w:r>
    </w:p>
    <w:p w14:paraId="733BF247">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Arial"/>
          <w:b/>
          <w:bCs/>
          <w:color w:val="0000FF"/>
          <w:sz w:val="21"/>
          <w:szCs w:val="21"/>
          <w:lang w:eastAsia="zh-CN"/>
        </w:rPr>
      </w:pPr>
      <w:r>
        <w:rPr>
          <w:rFonts w:hint="eastAsia" w:ascii="宋体" w:hAnsi="宋体" w:eastAsia="宋体" w:cs="宋体"/>
          <w:b/>
          <w:bCs/>
          <w:color w:val="0000FF"/>
          <w:sz w:val="21"/>
          <w:szCs w:val="21"/>
        </w:rPr>
        <w:t>★</w:t>
      </w:r>
      <w:r>
        <w:rPr>
          <w:rFonts w:hint="eastAsia" w:ascii="宋体" w:hAnsi="宋体" w:eastAsia="宋体" w:cs="宋体"/>
          <w:sz w:val="21"/>
          <w:szCs w:val="21"/>
          <w:lang w:val="en-US" w:eastAsia="zh-CN"/>
        </w:rPr>
        <w:t>中标人</w:t>
      </w:r>
      <w:r>
        <w:rPr>
          <w:rFonts w:hint="eastAsia" w:ascii="宋体" w:hAnsi="宋体" w:eastAsia="宋体" w:cs="宋体"/>
          <w:sz w:val="21"/>
          <w:szCs w:val="21"/>
        </w:rPr>
        <w:t>应自本项目校服交货验收合格之日起，为采购</w:t>
      </w:r>
      <w:r>
        <w:rPr>
          <w:rFonts w:hint="eastAsia" w:ascii="宋体" w:hAnsi="宋体" w:eastAsia="宋体" w:cs="宋体"/>
          <w:sz w:val="21"/>
          <w:szCs w:val="21"/>
          <w:lang w:eastAsia="zh-CN"/>
        </w:rPr>
        <w:t>人</w:t>
      </w:r>
      <w:r>
        <w:rPr>
          <w:rFonts w:hint="eastAsia" w:ascii="宋体" w:hAnsi="宋体" w:eastAsia="宋体" w:cs="宋体"/>
          <w:sz w:val="21"/>
          <w:szCs w:val="21"/>
        </w:rPr>
        <w:t>提供</w:t>
      </w:r>
      <w:r>
        <w:rPr>
          <w:rFonts w:hint="eastAsia" w:ascii="宋体" w:hAnsi="宋体" w:eastAsia="宋体" w:cs="宋体"/>
          <w:sz w:val="21"/>
          <w:szCs w:val="21"/>
          <w:lang w:val="en-US" w:eastAsia="zh-CN"/>
        </w:rPr>
        <w:t>3</w:t>
      </w:r>
      <w:r>
        <w:rPr>
          <w:rFonts w:hint="eastAsia" w:ascii="宋体" w:hAnsi="宋体" w:eastAsia="宋体" w:cs="宋体"/>
          <w:sz w:val="21"/>
          <w:szCs w:val="21"/>
        </w:rPr>
        <w:t>年的长期技术支持及维修售后服务，服务范围涵盖但不限于：校服版型优化指导、面料质量问题处理、不合身尺码调</w:t>
      </w:r>
      <w:r>
        <w:rPr>
          <w:rFonts w:hint="eastAsia" w:ascii="宋体" w:hAnsi="宋体" w:eastAsia="宋体" w:cs="宋体"/>
          <w:sz w:val="21"/>
          <w:szCs w:val="21"/>
          <w:lang w:val="en-US" w:eastAsia="zh-CN"/>
        </w:rPr>
        <w:t>退</w:t>
      </w:r>
      <w:r>
        <w:rPr>
          <w:rFonts w:hint="eastAsia" w:ascii="宋体" w:hAnsi="宋体" w:eastAsia="宋体" w:cs="宋体"/>
          <w:sz w:val="21"/>
          <w:szCs w:val="21"/>
        </w:rPr>
        <w:t>换</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增购（增购校服不得高于合同价格，学生及家长可按实际需要单件购买）</w:t>
      </w:r>
      <w:r>
        <w:rPr>
          <w:rFonts w:hint="eastAsia" w:ascii="宋体" w:hAnsi="宋体" w:eastAsia="宋体" w:cs="宋体"/>
          <w:sz w:val="21"/>
          <w:szCs w:val="21"/>
        </w:rPr>
        <w:t>等与校服使用相关的各类售后需求。</w:t>
      </w:r>
      <w:r>
        <w:rPr>
          <w:rFonts w:hint="eastAsia" w:ascii="宋体" w:hAnsi="宋体" w:eastAsia="宋体" w:cs="Arial"/>
          <w:b/>
          <w:bCs/>
          <w:color w:val="0000FF"/>
          <w:sz w:val="21"/>
          <w:szCs w:val="21"/>
          <w:lang w:eastAsia="zh-CN"/>
        </w:rPr>
        <w:t>（</w:t>
      </w:r>
      <w:r>
        <w:rPr>
          <w:rFonts w:hint="eastAsia" w:ascii="宋体" w:hAnsi="宋体" w:eastAsia="宋体" w:cs="Arial"/>
          <w:b/>
          <w:bCs/>
          <w:color w:val="0000FF"/>
          <w:sz w:val="21"/>
          <w:szCs w:val="21"/>
          <w:lang w:val="en-US" w:eastAsia="zh-CN"/>
        </w:rPr>
        <w:t>3年为不可偏离项，供应商响应低于3年的售后服务将被视为无效投标</w:t>
      </w:r>
      <w:r>
        <w:rPr>
          <w:rFonts w:hint="eastAsia" w:ascii="宋体" w:hAnsi="宋体" w:eastAsia="宋体" w:cs="Arial"/>
          <w:b/>
          <w:bCs/>
          <w:color w:val="0000FF"/>
          <w:sz w:val="21"/>
          <w:szCs w:val="21"/>
          <w:lang w:eastAsia="zh-CN"/>
        </w:rPr>
        <w:t>）。</w:t>
      </w:r>
    </w:p>
    <w:p w14:paraId="16429CB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2.2</w:t>
      </w:r>
      <w:r>
        <w:rPr>
          <w:rFonts w:hint="eastAsia" w:ascii="宋体" w:hAnsi="宋体" w:eastAsia="宋体" w:cs="宋体"/>
          <w:sz w:val="21"/>
          <w:szCs w:val="21"/>
        </w:rPr>
        <w:t>服务响应与处置时限</w:t>
      </w:r>
    </w:p>
    <w:p w14:paraId="7135030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供应商须建立 7×24 小时售后响应机制，采购</w:t>
      </w:r>
      <w:r>
        <w:rPr>
          <w:rFonts w:hint="eastAsia" w:ascii="宋体" w:hAnsi="宋体" w:eastAsia="宋体" w:cs="宋体"/>
          <w:sz w:val="21"/>
          <w:szCs w:val="21"/>
          <w:lang w:eastAsia="zh-CN"/>
        </w:rPr>
        <w:t>人</w:t>
      </w:r>
      <w:r>
        <w:rPr>
          <w:rFonts w:hint="eastAsia" w:ascii="宋体" w:hAnsi="宋体" w:eastAsia="宋体" w:cs="宋体"/>
          <w:sz w:val="21"/>
          <w:szCs w:val="21"/>
        </w:rPr>
        <w:t>提出售后需求后，供应商应在24小时内响应，48小时内提供解决方案。</w:t>
      </w:r>
    </w:p>
    <w:p w14:paraId="34D3C26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2.3</w:t>
      </w:r>
      <w:r>
        <w:rPr>
          <w:rFonts w:hint="eastAsia" w:ascii="宋体" w:hAnsi="宋体" w:eastAsia="宋体" w:cs="宋体"/>
          <w:sz w:val="21"/>
          <w:szCs w:val="21"/>
        </w:rPr>
        <w:t>超时处置责任界定</w:t>
      </w:r>
    </w:p>
    <w:p w14:paraId="4E8F5BB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若因供应商技术能力不足、响应不及时等自身原因，导致</w:t>
      </w:r>
      <w:r>
        <w:rPr>
          <w:rFonts w:hint="eastAsia" w:ascii="宋体" w:hAnsi="宋体" w:eastAsia="宋体" w:cs="宋体"/>
          <w:sz w:val="21"/>
          <w:szCs w:val="21"/>
          <w:lang w:val="en-US" w:eastAsia="zh-CN"/>
        </w:rPr>
        <w:t>48</w:t>
      </w:r>
      <w:r>
        <w:rPr>
          <w:rFonts w:hint="eastAsia" w:ascii="宋体" w:hAnsi="宋体" w:eastAsia="宋体" w:cs="宋体"/>
          <w:sz w:val="21"/>
          <w:szCs w:val="21"/>
        </w:rPr>
        <w:t xml:space="preserve"> 小时内未能有效解决售后问题，采购方有权自行采取委托第三方维修、重新采购应急物资等必要措施</w:t>
      </w:r>
      <w:r>
        <w:rPr>
          <w:rFonts w:hint="eastAsia" w:ascii="宋体" w:hAnsi="宋体" w:eastAsia="宋体" w:cs="宋体"/>
          <w:sz w:val="21"/>
          <w:szCs w:val="21"/>
          <w:lang w:eastAsia="zh-CN"/>
        </w:rPr>
        <w:t>，对</w:t>
      </w:r>
      <w:r>
        <w:rPr>
          <w:rFonts w:hint="eastAsia" w:ascii="宋体" w:hAnsi="宋体" w:eastAsia="宋体" w:cs="宋体"/>
          <w:sz w:val="21"/>
          <w:szCs w:val="21"/>
        </w:rPr>
        <w:t>由此产生的全部人工、物料、运输等费用及相关风险（包括但不限于师生无校服可用造成的教学秩序影响等），均由供应商承担。</w:t>
      </w:r>
    </w:p>
    <w:p w14:paraId="522B45F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公益保障：在尊重学生及家长意愿、保护其隐私的前提下，支持鼓励企事业单位、社会团体及个人等社会力量为家庭经济困难学生、革命烈士子女、孤儿、残疾儿童等群体公益捐助校服，但不得要求以现金方式捐助，捐助校服不得挪作他用</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lang w:val="en-US" w:eastAsia="zh-CN"/>
        </w:rPr>
        <w:t>倡导校服循环利用。</w:t>
      </w:r>
    </w:p>
    <w:p w14:paraId="45012AD2">
      <w:pPr>
        <w:spacing w:line="400" w:lineRule="exact"/>
        <w:jc w:val="left"/>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、验收标准</w:t>
      </w:r>
    </w:p>
    <w:p w14:paraId="495A71C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验收方案：</w:t>
      </w:r>
    </w:p>
    <w:p w14:paraId="7AD7C294">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none"/>
        </w:rPr>
        <w:t>校服向学生发放前，</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按照合同约定，采取随机抽样方式进行验收。重点查验法定检验机构出具的本批次成衣质量检验报告原件及成衣质量标识。验收不合格的，不得向学生发放，并将问题线索及时通报当地市场监管部门。校服供应企业应免费提供不同批次、不同样式、不同款式的校服不少于4套留样封存，作为必要时送检的样本。</w:t>
      </w:r>
    </w:p>
    <w:p w14:paraId="4878C8F4">
      <w:pPr>
        <w:spacing w:line="400" w:lineRule="exact"/>
        <w:jc w:val="left"/>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七</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报价及结算</w:t>
      </w:r>
    </w:p>
    <w:p w14:paraId="4775CEA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报价要求：</w:t>
      </w:r>
    </w:p>
    <w:p w14:paraId="324F3B4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1.1投标人根据校服单人总价进行报价，每件报价金额不得超过单价最高限价。</w:t>
      </w:r>
    </w:p>
    <w:p w14:paraId="76A6D89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本次报价须为人民币报价。投标</w:t>
      </w:r>
      <w:r>
        <w:rPr>
          <w:rFonts w:hint="eastAsia" w:ascii="宋体" w:hAnsi="宋体" w:eastAsia="宋体" w:cs="宋体"/>
          <w:sz w:val="21"/>
          <w:szCs w:val="21"/>
          <w:lang w:val="en-US" w:eastAsia="zh-CN"/>
        </w:rPr>
        <w:t>报</w:t>
      </w:r>
      <w:r>
        <w:rPr>
          <w:rFonts w:hint="eastAsia" w:ascii="宋体" w:hAnsi="宋体" w:eastAsia="宋体" w:cs="宋体"/>
          <w:sz w:val="21"/>
          <w:szCs w:val="21"/>
        </w:rPr>
        <w:t>价应包含货物标准配置、附件及备品备件（如果有的话）、货物运至交货地点的运输、保险、检测、验收、售后、税金等各项直接、间接费用。</w:t>
      </w:r>
    </w:p>
    <w:p w14:paraId="7D811BD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本项目为</w:t>
      </w:r>
      <w:r>
        <w:rPr>
          <w:rFonts w:hint="eastAsia" w:ascii="宋体" w:hAnsi="宋体" w:eastAsia="宋体" w:cs="宋体"/>
          <w:sz w:val="21"/>
          <w:szCs w:val="21"/>
          <w:highlight w:val="none"/>
          <w:lang w:val="en-US" w:eastAsia="zh-CN"/>
        </w:rPr>
        <w:t>固定单价合同</w:t>
      </w:r>
      <w:r>
        <w:rPr>
          <w:rFonts w:hint="eastAsia" w:ascii="宋体" w:hAnsi="宋体" w:eastAsia="宋体" w:cs="宋体"/>
          <w:sz w:val="21"/>
          <w:szCs w:val="21"/>
        </w:rPr>
        <w:t>，投标人须对项目清单中未列出，而实现项目功能又必须的产品、材料在投标文件中一次性完整报价。若中标，中标人不得以任何理由在项目招标范围内提出增加费用的要求，否则采购人有权不予签订采购合同，并可向中标人索赔因此而造成的损失。</w:t>
      </w:r>
    </w:p>
    <w:p w14:paraId="541D438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1.4投标人报价时，须充分考量本项目校服采购自愿购买的特殊性。因学生及家长自主决定是否采购，项目预估采购人数、采购套数均存在显著不确定性，请各投标人结合自身产能规模、供应链响应能力及库存管理水平，科学测算报价，确保报价方案具备应对采购量波动的柔性与可行性。</w:t>
      </w:r>
    </w:p>
    <w:p w14:paraId="1C1C271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付款方式：</w:t>
      </w:r>
      <w:r>
        <w:rPr>
          <w:rFonts w:hint="eastAsia" w:ascii="宋体" w:hAnsi="宋体" w:eastAsia="宋体" w:cs="宋体"/>
          <w:sz w:val="21"/>
          <w:szCs w:val="21"/>
          <w:lang w:val="zh-TW" w:eastAsia="zh-CN"/>
        </w:rPr>
        <w:t>签订合同后，</w:t>
      </w:r>
      <w:r>
        <w:rPr>
          <w:rFonts w:hint="eastAsia" w:ascii="宋体" w:hAnsi="宋体" w:eastAsia="宋体" w:cs="宋体"/>
          <w:sz w:val="21"/>
          <w:szCs w:val="21"/>
          <w:lang w:val="en-US" w:eastAsia="zh-CN"/>
        </w:rPr>
        <w:t>家长直接向中标人付款购买。</w:t>
      </w:r>
    </w:p>
    <w:p w14:paraId="54DEB265">
      <w:pPr>
        <w:spacing w:line="400" w:lineRule="exact"/>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r>
        <w:rPr>
          <w:rFonts w:hint="eastAsia" w:ascii="宋体" w:hAnsi="宋体" w:eastAsia="宋体" w:cs="宋体"/>
          <w:b/>
          <w:bCs/>
          <w:sz w:val="21"/>
          <w:szCs w:val="21"/>
          <w:lang w:val="en-US" w:eastAsia="zh-CN"/>
        </w:rPr>
        <w:t>八、样品</w:t>
      </w:r>
    </w:p>
    <w:tbl>
      <w:tblPr>
        <w:tblStyle w:val="2"/>
        <w:tblW w:w="518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61"/>
        <w:gridCol w:w="3877"/>
        <w:gridCol w:w="2891"/>
      </w:tblGrid>
      <w:tr w14:paraId="0A8B4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78" w:type="pct"/>
            <w:noWrap w:val="0"/>
            <w:vAlign w:val="center"/>
          </w:tcPr>
          <w:p w14:paraId="161E4E93">
            <w:pPr>
              <w:keepNext/>
              <w:keepLines/>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lang w:val="en-US" w:eastAsia="zh-CN"/>
              </w:rPr>
              <w:t>样品</w:t>
            </w:r>
          </w:p>
        </w:tc>
        <w:tc>
          <w:tcPr>
            <w:tcW w:w="2246" w:type="pct"/>
            <w:noWrap w:val="0"/>
            <w:vAlign w:val="center"/>
          </w:tcPr>
          <w:p w14:paraId="1E71D60C">
            <w:pPr>
              <w:keepNext/>
              <w:keepLines/>
              <w:pageBreakBefore w:val="0"/>
              <w:widowControl w:val="0"/>
              <w:numPr>
                <w:ilvl w:val="0"/>
                <w:numId w:val="0"/>
              </w:numPr>
              <w:kinsoku/>
              <w:wordWrap/>
              <w:overflowPunct/>
              <w:topLinePunct w:val="0"/>
              <w:autoSpaceDE/>
              <w:autoSpaceDN/>
              <w:bidi w:val="0"/>
              <w:adjustRightInd/>
              <w:snapToGrid/>
              <w:ind w:firstLine="0" w:firstLineChars="0"/>
              <w:jc w:val="center"/>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款式</w:t>
            </w:r>
          </w:p>
        </w:tc>
        <w:tc>
          <w:tcPr>
            <w:tcW w:w="1675" w:type="pct"/>
            <w:noWrap w:val="0"/>
            <w:vAlign w:val="center"/>
          </w:tcPr>
          <w:p w14:paraId="40B6BC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Calibri" w:hAnsi="Calibri" w:eastAsia="宋体" w:cs="Times New Roman"/>
                <w:b/>
                <w:bCs/>
                <w:lang w:val="en-US" w:eastAsia="zh-CN"/>
              </w:rPr>
            </w:pPr>
            <w:r>
              <w:rPr>
                <w:rFonts w:hint="eastAsia" w:ascii="Calibri" w:hAnsi="Calibri" w:eastAsia="宋体" w:cs="Times New Roman"/>
                <w:b/>
                <w:bCs/>
                <w:lang w:val="en-US" w:eastAsia="zh-CN"/>
              </w:rPr>
              <w:t>数量</w:t>
            </w:r>
          </w:p>
        </w:tc>
      </w:tr>
      <w:tr w14:paraId="480B9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78" w:type="pct"/>
            <w:noWrap w:val="0"/>
            <w:vAlign w:val="center"/>
          </w:tcPr>
          <w:p w14:paraId="3791064A">
            <w:pPr>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sz w:val="21"/>
                <w:szCs w:val="21"/>
                <w:lang w:eastAsia="zh-CN"/>
              </w:rPr>
              <w:t>夏季校服</w:t>
            </w:r>
          </w:p>
        </w:tc>
        <w:tc>
          <w:tcPr>
            <w:tcW w:w="2246" w:type="pct"/>
            <w:tcBorders>
              <w:bottom w:val="single" w:color="auto" w:sz="4" w:space="0"/>
            </w:tcBorders>
            <w:noWrap w:val="0"/>
            <w:vAlign w:val="center"/>
          </w:tcPr>
          <w:p w14:paraId="19B64C9D">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Calibri" w:hAnsi="Calibri" w:eastAsia="宋体" w:cs="Times New Roman"/>
                <w:b w:val="0"/>
                <w:bCs w:val="0"/>
                <w:kern w:val="2"/>
                <w:sz w:val="21"/>
                <w:szCs w:val="24"/>
                <w:highlight w:val="yellow"/>
                <w:lang w:val="en-US" w:eastAsia="zh-CN" w:bidi="ar-SA"/>
              </w:rPr>
            </w:pPr>
            <w:r>
              <w:rPr>
                <w:rFonts w:hint="eastAsia" w:ascii="宋体" w:hAnsi="宋体" w:eastAsia="宋体" w:cs="宋体"/>
                <w:b w:val="0"/>
                <w:bCs w:val="0"/>
                <w:color w:val="000000"/>
                <w:sz w:val="21"/>
                <w:szCs w:val="21"/>
                <w:vertAlign w:val="baseline"/>
                <w:lang w:val="en-US" w:eastAsia="zh-CN"/>
              </w:rPr>
              <w:t>短袖T恤</w:t>
            </w:r>
            <w:r>
              <w:rPr>
                <w:rFonts w:hint="eastAsia" w:ascii="宋体" w:hAnsi="宋体" w:eastAsia="宋体" w:cs="宋体"/>
                <w:sz w:val="21"/>
                <w:szCs w:val="21"/>
                <w:lang w:eastAsia="zh-CN"/>
              </w:rPr>
              <w:t>（男女同款）</w:t>
            </w:r>
          </w:p>
        </w:tc>
        <w:tc>
          <w:tcPr>
            <w:tcW w:w="1675" w:type="pct"/>
            <w:noWrap w:val="0"/>
            <w:vAlign w:val="center"/>
          </w:tcPr>
          <w:p w14:paraId="7CDB2A84">
            <w:pPr>
              <w:spacing w:line="240" w:lineRule="auto"/>
              <w:jc w:val="center"/>
              <w:rPr>
                <w:rFonts w:hint="eastAsia" w:ascii="Calibri" w:hAnsi="Calibri" w:eastAsia="宋体" w:cs="Times New Roman"/>
                <w:b w:val="0"/>
                <w:bCs w:val="0"/>
                <w:highlight w:val="yellow"/>
                <w:lang w:val="en-US" w:eastAsia="zh-CN"/>
              </w:rPr>
            </w:pPr>
            <w:r>
              <w:rPr>
                <w:rFonts w:hint="eastAsia" w:ascii="宋体" w:hAnsi="宋体" w:eastAsia="宋体" w:cs="宋体"/>
                <w:kern w:val="0"/>
                <w:sz w:val="21"/>
                <w:szCs w:val="21"/>
                <w:highlight w:val="none"/>
                <w:lang w:val="en-US" w:eastAsia="zh-CN"/>
              </w:rPr>
              <w:t>1件</w:t>
            </w:r>
          </w:p>
        </w:tc>
      </w:tr>
      <w:tr w14:paraId="37353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1078" w:type="pct"/>
            <w:vMerge w:val="restart"/>
            <w:tcBorders>
              <w:right w:val="single" w:color="auto" w:sz="4" w:space="0"/>
            </w:tcBorders>
            <w:noWrap w:val="0"/>
            <w:vAlign w:val="center"/>
          </w:tcPr>
          <w:p w14:paraId="66B230C7">
            <w:pPr>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Arial"/>
                <w:sz w:val="21"/>
                <w:szCs w:val="21"/>
              </w:rPr>
            </w:pPr>
            <w:r>
              <w:rPr>
                <w:rFonts w:hint="eastAsia" w:ascii="宋体" w:hAnsi="宋体" w:eastAsia="宋体" w:cs="宋体"/>
                <w:sz w:val="21"/>
                <w:szCs w:val="21"/>
                <w:lang w:eastAsia="zh-CN"/>
              </w:rPr>
              <w:t>春秋校服</w:t>
            </w:r>
          </w:p>
        </w:tc>
        <w:tc>
          <w:tcPr>
            <w:tcW w:w="2246" w:type="pct"/>
            <w:tcBorders>
              <w:top w:val="single" w:color="auto" w:sz="4" w:space="0"/>
              <w:left w:val="single" w:color="auto" w:sz="4" w:space="0"/>
              <w:right w:val="single" w:color="auto" w:sz="4" w:space="0"/>
            </w:tcBorders>
            <w:noWrap w:val="0"/>
            <w:vAlign w:val="center"/>
          </w:tcPr>
          <w:p w14:paraId="161BC292">
            <w:pPr>
              <w:keepNext/>
              <w:keepLines/>
              <w:pageBreakBefore w:val="0"/>
              <w:widowControl w:val="0"/>
              <w:kinsoku/>
              <w:wordWrap/>
              <w:overflowPunct/>
              <w:topLinePunct w:val="0"/>
              <w:bidi w:val="0"/>
              <w:spacing w:line="240" w:lineRule="auto"/>
              <w:jc w:val="center"/>
              <w:textAlignment w:val="center"/>
              <w:rPr>
                <w:rFonts w:hint="default" w:ascii="宋体" w:hAnsi="宋体" w:eastAsia="宋体" w:cs="Arial"/>
                <w:b/>
                <w:bCs/>
                <w:kern w:val="2"/>
                <w:sz w:val="21"/>
                <w:szCs w:val="21"/>
                <w:lang w:val="en-US" w:eastAsia="zh-CN" w:bidi="ar-SA"/>
              </w:rPr>
            </w:pPr>
            <w:r>
              <w:rPr>
                <w:rFonts w:hint="eastAsia" w:ascii="宋体" w:hAnsi="宋体" w:eastAsia="宋体" w:cs="宋体"/>
                <w:b w:val="0"/>
                <w:bCs w:val="0"/>
                <w:color w:val="000000"/>
                <w:sz w:val="21"/>
                <w:szCs w:val="21"/>
                <w:vertAlign w:val="baseline"/>
                <w:lang w:val="en-US" w:eastAsia="zh-CN"/>
              </w:rPr>
              <w:t>运动款长袖</w:t>
            </w:r>
            <w:r>
              <w:rPr>
                <w:rFonts w:hint="eastAsia" w:ascii="宋体" w:hAnsi="宋体" w:eastAsia="宋体" w:cs="宋体"/>
                <w:sz w:val="21"/>
                <w:szCs w:val="21"/>
                <w:lang w:eastAsia="zh-CN"/>
              </w:rPr>
              <w:t>（男女同款）</w:t>
            </w:r>
          </w:p>
        </w:tc>
        <w:tc>
          <w:tcPr>
            <w:tcW w:w="1675" w:type="pct"/>
            <w:tcBorders>
              <w:left w:val="single" w:color="auto" w:sz="4" w:space="0"/>
              <w:right w:val="single" w:color="auto" w:sz="4" w:space="0"/>
            </w:tcBorders>
            <w:noWrap w:val="0"/>
            <w:vAlign w:val="center"/>
          </w:tcPr>
          <w:p w14:paraId="45E38410">
            <w:pPr>
              <w:jc w:val="center"/>
              <w:rPr>
                <w:rFonts w:hint="default" w:ascii="宋体" w:hAnsi="宋体" w:eastAsia="宋体" w:cs="Arial"/>
                <w:b/>
                <w:bCs/>
                <w:kern w:val="2"/>
                <w:sz w:val="21"/>
                <w:szCs w:val="21"/>
                <w:lang w:val="en-US" w:eastAsia="zh-CN" w:bidi="ar-SA"/>
              </w:rPr>
            </w:pPr>
            <w:r>
              <w:rPr>
                <w:rFonts w:hint="eastAsia" w:ascii="宋体" w:hAnsi="宋体" w:eastAsia="宋体" w:cs="宋体"/>
                <w:kern w:val="0"/>
                <w:sz w:val="21"/>
                <w:szCs w:val="21"/>
                <w:highlight w:val="none"/>
                <w:lang w:val="en-US" w:eastAsia="zh-CN"/>
              </w:rPr>
              <w:t>1件</w:t>
            </w:r>
          </w:p>
        </w:tc>
      </w:tr>
      <w:tr w14:paraId="7CFAD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78" w:type="pct"/>
            <w:vMerge w:val="continue"/>
            <w:tcBorders>
              <w:right w:val="single" w:color="auto" w:sz="4" w:space="0"/>
            </w:tcBorders>
            <w:noWrap w:val="0"/>
            <w:vAlign w:val="center"/>
          </w:tcPr>
          <w:p w14:paraId="1318A155">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Arial"/>
                <w:sz w:val="21"/>
                <w:szCs w:val="21"/>
              </w:rPr>
            </w:pPr>
          </w:p>
        </w:tc>
        <w:tc>
          <w:tcPr>
            <w:tcW w:w="2246" w:type="pct"/>
            <w:tcBorders>
              <w:left w:val="single" w:color="auto" w:sz="4" w:space="0"/>
              <w:right w:val="single" w:color="auto" w:sz="4" w:space="0"/>
            </w:tcBorders>
            <w:noWrap w:val="0"/>
            <w:vAlign w:val="center"/>
          </w:tcPr>
          <w:p w14:paraId="559D8480">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Arial"/>
                <w:b/>
                <w:bCs/>
                <w:kern w:val="2"/>
                <w:sz w:val="21"/>
                <w:szCs w:val="21"/>
                <w:lang w:val="en-US" w:eastAsia="zh-CN" w:bidi="ar-SA"/>
              </w:rPr>
            </w:pPr>
            <w:r>
              <w:rPr>
                <w:rFonts w:hint="eastAsia" w:ascii="宋体" w:hAnsi="宋体" w:eastAsia="宋体" w:cs="宋体"/>
                <w:b w:val="0"/>
                <w:bCs w:val="0"/>
                <w:color w:val="000000"/>
                <w:sz w:val="21"/>
                <w:szCs w:val="21"/>
                <w:vertAlign w:val="baseline"/>
                <w:lang w:val="en-US" w:eastAsia="zh-CN"/>
              </w:rPr>
              <w:t>运动款</w:t>
            </w:r>
            <w:r>
              <w:rPr>
                <w:rFonts w:hint="eastAsia" w:ascii="宋体" w:hAnsi="宋体" w:eastAsia="宋体" w:cs="宋体"/>
                <w:kern w:val="0"/>
                <w:sz w:val="21"/>
                <w:szCs w:val="21"/>
                <w:highlight w:val="none"/>
                <w:lang w:val="en-US" w:eastAsia="zh-CN" w:bidi="ar-SA"/>
              </w:rPr>
              <w:t>长裤（男女同款）</w:t>
            </w:r>
          </w:p>
        </w:tc>
        <w:tc>
          <w:tcPr>
            <w:tcW w:w="1675" w:type="pct"/>
            <w:tcBorders>
              <w:left w:val="single" w:color="auto" w:sz="4" w:space="0"/>
              <w:right w:val="single" w:color="auto" w:sz="4" w:space="0"/>
            </w:tcBorders>
            <w:noWrap w:val="0"/>
            <w:vAlign w:val="center"/>
          </w:tcPr>
          <w:p w14:paraId="512BF6BB">
            <w:pPr>
              <w:jc w:val="center"/>
              <w:rPr>
                <w:rFonts w:hint="default" w:ascii="宋体" w:hAnsi="宋体" w:eastAsia="宋体" w:cs="Arial"/>
                <w:b/>
                <w:bCs/>
                <w:kern w:val="2"/>
                <w:sz w:val="21"/>
                <w:szCs w:val="21"/>
                <w:lang w:val="en-US" w:eastAsia="zh-CN" w:bidi="ar-SA"/>
              </w:rPr>
            </w:pPr>
            <w:r>
              <w:rPr>
                <w:rFonts w:hint="eastAsia" w:ascii="宋体" w:hAnsi="宋体" w:eastAsia="宋体" w:cs="宋体"/>
                <w:kern w:val="0"/>
                <w:sz w:val="21"/>
                <w:szCs w:val="21"/>
                <w:highlight w:val="none"/>
                <w:lang w:val="en-US" w:eastAsia="zh-CN"/>
              </w:rPr>
              <w:t>1条</w:t>
            </w:r>
          </w:p>
        </w:tc>
      </w:tr>
      <w:tr w14:paraId="513CD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jc w:val="center"/>
        </w:trPr>
        <w:tc>
          <w:tcPr>
            <w:tcW w:w="1078" w:type="pct"/>
            <w:tcBorders>
              <w:right w:val="single" w:color="auto" w:sz="4" w:space="0"/>
            </w:tcBorders>
            <w:noWrap w:val="0"/>
            <w:vAlign w:val="center"/>
          </w:tcPr>
          <w:p w14:paraId="0D232440">
            <w:pPr>
              <w:autoSpaceDE w:val="0"/>
              <w:autoSpaceDN w:val="0"/>
              <w:snapToGrid w:val="0"/>
              <w:spacing w:line="300" w:lineRule="auto"/>
              <w:jc w:val="center"/>
              <w:rPr>
                <w:rFonts w:hint="eastAsia" w:ascii="Times New Roman" w:hAnsi="Times New Roman" w:eastAsia="宋体" w:cs="Times New Roman"/>
                <w:lang w:val="en-US" w:eastAsia="zh-CN"/>
              </w:rPr>
            </w:pPr>
            <w:r>
              <w:rPr>
                <w:rFonts w:hint="eastAsia" w:ascii="宋体" w:hAnsi="宋体" w:eastAsia="宋体" w:cs="Arial"/>
                <w:sz w:val="21"/>
                <w:szCs w:val="21"/>
              </w:rPr>
              <w:t>样品提交要求</w:t>
            </w:r>
          </w:p>
        </w:tc>
        <w:tc>
          <w:tcPr>
            <w:tcW w:w="3921" w:type="pct"/>
            <w:gridSpan w:val="2"/>
            <w:tcBorders>
              <w:left w:val="single" w:color="auto" w:sz="4" w:space="0"/>
              <w:right w:val="single" w:color="auto" w:sz="4" w:space="0"/>
            </w:tcBorders>
            <w:noWrap w:val="0"/>
            <w:vAlign w:val="center"/>
          </w:tcPr>
          <w:p w14:paraId="5C5790B0">
            <w:pPr>
              <w:keepNext w:val="0"/>
              <w:keepLines w:val="0"/>
              <w:pageBreakBefore w:val="0"/>
              <w:widowControl w:val="0"/>
              <w:numPr>
                <w:ilvl w:val="0"/>
                <w:numId w:val="0"/>
              </w:numPr>
              <w:tabs>
                <w:tab w:val="left" w:pos="1260"/>
              </w:tabs>
              <w:kinsoku/>
              <w:wordWrap/>
              <w:overflowPunct/>
              <w:topLinePunct w:val="0"/>
              <w:autoSpaceDE/>
              <w:autoSpaceDN/>
              <w:bidi w:val="0"/>
              <w:adjustRightInd/>
              <w:snapToGrid w:val="0"/>
              <w:spacing w:line="400" w:lineRule="exact"/>
              <w:ind w:left="0" w:leftChars="0" w:firstLine="0" w:firstLineChars="0"/>
              <w:jc w:val="left"/>
              <w:textAlignment w:val="auto"/>
              <w:rPr>
                <w:rFonts w:hint="eastAsia" w:ascii="宋体" w:hAnsi="宋体" w:eastAsia="宋体" w:cs="Arial"/>
                <w:sz w:val="21"/>
                <w:szCs w:val="21"/>
              </w:rPr>
            </w:pPr>
            <w:r>
              <w:rPr>
                <w:rFonts w:hint="default" w:ascii="宋体" w:hAnsi="宋体" w:eastAsia="宋体" w:cs="Arial"/>
                <w:b/>
                <w:bCs/>
                <w:kern w:val="2"/>
                <w:sz w:val="21"/>
                <w:szCs w:val="21"/>
                <w:lang w:val="en-US" w:eastAsia="zh-CN" w:bidi="ar-SA"/>
              </w:rPr>
              <w:t>(1)</w:t>
            </w:r>
            <w:r>
              <w:rPr>
                <w:rFonts w:hint="eastAsia" w:ascii="宋体" w:hAnsi="宋体" w:eastAsia="宋体" w:cs="Arial"/>
                <w:b/>
                <w:bCs/>
                <w:sz w:val="21"/>
                <w:szCs w:val="21"/>
              </w:rPr>
              <w:t>样品递交地点：</w:t>
            </w:r>
            <w:r>
              <w:rPr>
                <w:rFonts w:hint="eastAsia" w:ascii="宋体" w:hAnsi="宋体" w:eastAsia="宋体" w:cs="Arial"/>
                <w:sz w:val="21"/>
                <w:szCs w:val="21"/>
                <w:lang w:eastAsia="zh-CN"/>
              </w:rPr>
              <w:t>武汉市青山区和平大道招商时代总部C栋12</w:t>
            </w:r>
            <w:r>
              <w:rPr>
                <w:rFonts w:hint="eastAsia" w:ascii="宋体" w:hAnsi="宋体" w:eastAsia="宋体" w:cs="Arial"/>
                <w:sz w:val="21"/>
                <w:szCs w:val="21"/>
                <w:lang w:val="en-US" w:eastAsia="zh-CN"/>
              </w:rPr>
              <w:t>20</w:t>
            </w:r>
            <w:r>
              <w:rPr>
                <w:rFonts w:hint="eastAsia" w:ascii="宋体" w:hAnsi="宋体" w:eastAsia="宋体" w:cs="Arial"/>
                <w:sz w:val="21"/>
                <w:szCs w:val="21"/>
              </w:rPr>
              <w:t>。</w:t>
            </w:r>
          </w:p>
          <w:p w14:paraId="5F92CD8F">
            <w:pPr>
              <w:keepNext w:val="0"/>
              <w:keepLines w:val="0"/>
              <w:pageBreakBefore w:val="0"/>
              <w:widowControl w:val="0"/>
              <w:numPr>
                <w:ilvl w:val="0"/>
                <w:numId w:val="0"/>
              </w:numPr>
              <w:tabs>
                <w:tab w:val="left" w:pos="1260"/>
              </w:tabs>
              <w:kinsoku/>
              <w:wordWrap/>
              <w:overflowPunct/>
              <w:topLinePunct w:val="0"/>
              <w:autoSpaceDE/>
              <w:autoSpaceDN/>
              <w:bidi w:val="0"/>
              <w:adjustRightInd/>
              <w:snapToGrid w:val="0"/>
              <w:spacing w:line="400" w:lineRule="exact"/>
              <w:ind w:left="0" w:leftChars="0" w:firstLine="0"/>
              <w:jc w:val="left"/>
              <w:textAlignment w:val="auto"/>
              <w:rPr>
                <w:rFonts w:hint="eastAsia" w:ascii="宋体" w:hAnsi="宋体" w:eastAsia="宋体" w:cs="Arial"/>
                <w:sz w:val="21"/>
                <w:szCs w:val="21"/>
                <w:lang w:val="en-US" w:eastAsia="zh-CN"/>
              </w:rPr>
            </w:pPr>
            <w:r>
              <w:rPr>
                <w:rFonts w:hint="eastAsia" w:ascii="宋体" w:hAnsi="宋体" w:eastAsia="宋体" w:cs="Arial"/>
                <w:sz w:val="21"/>
                <w:szCs w:val="21"/>
              </w:rPr>
              <w:t>联系人：</w:t>
            </w:r>
            <w:r>
              <w:rPr>
                <w:rFonts w:hint="eastAsia" w:ascii="宋体" w:hAnsi="宋体" w:eastAsia="宋体" w:cs="Arial"/>
                <w:sz w:val="21"/>
                <w:szCs w:val="21"/>
                <w:lang w:val="en-US" w:eastAsia="zh-CN"/>
              </w:rPr>
              <w:t>邵志文</w:t>
            </w:r>
          </w:p>
          <w:p w14:paraId="0B7AF250">
            <w:pPr>
              <w:keepNext w:val="0"/>
              <w:keepLines w:val="0"/>
              <w:pageBreakBefore w:val="0"/>
              <w:widowControl w:val="0"/>
              <w:numPr>
                <w:ilvl w:val="0"/>
                <w:numId w:val="0"/>
              </w:numPr>
              <w:tabs>
                <w:tab w:val="left" w:pos="1260"/>
              </w:tabs>
              <w:kinsoku/>
              <w:wordWrap/>
              <w:overflowPunct/>
              <w:topLinePunct w:val="0"/>
              <w:autoSpaceDE/>
              <w:autoSpaceDN/>
              <w:bidi w:val="0"/>
              <w:adjustRightInd/>
              <w:snapToGrid w:val="0"/>
              <w:spacing w:line="400" w:lineRule="exact"/>
              <w:ind w:left="0" w:leftChars="0" w:firstLine="0"/>
              <w:jc w:val="left"/>
              <w:textAlignment w:val="auto"/>
              <w:rPr>
                <w:rFonts w:hint="eastAsia" w:ascii="宋体" w:hAnsi="宋体" w:eastAsia="宋体" w:cs="Arial"/>
                <w:sz w:val="21"/>
                <w:szCs w:val="21"/>
              </w:rPr>
            </w:pPr>
            <w:r>
              <w:rPr>
                <w:rFonts w:hint="eastAsia" w:ascii="宋体" w:hAnsi="宋体" w:eastAsia="宋体" w:cs="Arial"/>
                <w:sz w:val="21"/>
                <w:szCs w:val="21"/>
                <w:lang w:val="en-US" w:eastAsia="zh-CN"/>
              </w:rPr>
              <w:t>联系电话：027-86683938</w:t>
            </w:r>
            <w:r>
              <w:rPr>
                <w:rFonts w:hint="eastAsia" w:ascii="宋体" w:hAnsi="宋体" w:eastAsia="宋体" w:cs="Arial"/>
                <w:sz w:val="21"/>
                <w:szCs w:val="21"/>
              </w:rPr>
              <w:t>。</w:t>
            </w:r>
          </w:p>
          <w:p w14:paraId="2A42698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宋体" w:hAnsi="宋体" w:eastAsia="宋体" w:cs="Arial"/>
                <w:b w:val="0"/>
                <w:bCs w:val="0"/>
                <w:kern w:val="2"/>
                <w:sz w:val="21"/>
                <w:szCs w:val="21"/>
                <w:lang w:val="en-US" w:eastAsia="zh-CN" w:bidi="ar-SA"/>
              </w:rPr>
            </w:pPr>
            <w:r>
              <w:rPr>
                <w:rFonts w:hint="default" w:ascii="宋体" w:hAnsi="宋体" w:eastAsia="宋体" w:cs="Arial"/>
                <w:b/>
                <w:bCs/>
                <w:kern w:val="2"/>
                <w:sz w:val="21"/>
                <w:szCs w:val="21"/>
                <w:lang w:val="en-US" w:eastAsia="zh-CN" w:bidi="ar-SA"/>
              </w:rPr>
              <w:t>(2)样品递交签到时间：</w:t>
            </w:r>
            <w:r>
              <w:rPr>
                <w:rFonts w:hint="default" w:ascii="宋体" w:hAnsi="宋体" w:eastAsia="宋体" w:cs="Arial"/>
                <w:b w:val="0"/>
                <w:bCs w:val="0"/>
                <w:kern w:val="2"/>
                <w:sz w:val="21"/>
                <w:szCs w:val="21"/>
                <w:lang w:val="en-US" w:eastAsia="zh-CN" w:bidi="ar-SA"/>
              </w:rPr>
              <w:t>开标当日上午09：00-10：00（北京时间）。</w:t>
            </w:r>
          </w:p>
          <w:p w14:paraId="646D99F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宋体" w:hAnsi="宋体" w:eastAsia="宋体" w:cs="Arial"/>
                <w:b w:val="0"/>
                <w:bCs w:val="0"/>
                <w:kern w:val="2"/>
                <w:sz w:val="21"/>
                <w:szCs w:val="21"/>
                <w:lang w:val="en-US" w:eastAsia="zh-CN" w:bidi="ar-SA"/>
              </w:rPr>
            </w:pPr>
            <w:r>
              <w:rPr>
                <w:rFonts w:hint="default" w:ascii="宋体" w:hAnsi="宋体" w:eastAsia="宋体" w:cs="Arial"/>
                <w:b w:val="0"/>
                <w:bCs w:val="0"/>
                <w:kern w:val="2"/>
                <w:sz w:val="21"/>
                <w:szCs w:val="21"/>
                <w:lang w:val="en-US" w:eastAsia="zh-CN" w:bidi="ar-SA"/>
              </w:rPr>
              <w:t>投标人应将样品放置于指定地点，并完成样品递交签到工作。递交样品时间超过以上规定时间的投标人，样品将被拒收，视为未提供样品。</w:t>
            </w:r>
          </w:p>
          <w:p w14:paraId="08E501B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宋体" w:hAnsi="宋体" w:eastAsia="宋体" w:cs="Arial"/>
                <w:b w:val="0"/>
                <w:bCs w:val="0"/>
                <w:kern w:val="2"/>
                <w:sz w:val="21"/>
                <w:szCs w:val="21"/>
                <w:lang w:val="en-US" w:eastAsia="zh-CN" w:bidi="ar-SA"/>
              </w:rPr>
            </w:pPr>
            <w:r>
              <w:rPr>
                <w:rFonts w:hint="default" w:ascii="宋体" w:hAnsi="宋体" w:eastAsia="宋体" w:cs="Arial"/>
                <w:b/>
                <w:bCs/>
                <w:kern w:val="2"/>
                <w:sz w:val="21"/>
                <w:szCs w:val="21"/>
                <w:lang w:val="en-US" w:eastAsia="zh-CN" w:bidi="ar-SA"/>
              </w:rPr>
              <w:t>(3)样品密封与现场管理要求：</w:t>
            </w:r>
            <w:r>
              <w:rPr>
                <w:rFonts w:hint="default" w:ascii="宋体" w:hAnsi="宋体" w:eastAsia="宋体" w:cs="Arial"/>
                <w:b w:val="0"/>
                <w:bCs w:val="0"/>
                <w:kern w:val="2"/>
                <w:sz w:val="21"/>
                <w:szCs w:val="21"/>
                <w:lang w:val="en-US" w:eastAsia="zh-CN" w:bidi="ar-SA"/>
              </w:rPr>
              <w:t>投标人须对样品进行全封闭、无标识密封处理，未按本要求密封的样品将被拒收。样品交付并完成签到后，投标人须即刻离开样品存放现场，严禁触碰、翻阅其他投标人的样品，直至采购代理机构通知样品领取事宜。</w:t>
            </w:r>
          </w:p>
          <w:p w14:paraId="0279D5B1">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宋体" w:hAnsi="宋体" w:eastAsia="宋体" w:cs="Arial"/>
                <w:b w:val="0"/>
                <w:bCs w:val="0"/>
                <w:kern w:val="2"/>
                <w:sz w:val="21"/>
                <w:szCs w:val="21"/>
                <w:lang w:val="en-US" w:eastAsia="zh-CN" w:bidi="ar-SA"/>
              </w:rPr>
            </w:pPr>
            <w:r>
              <w:rPr>
                <w:rFonts w:hint="default" w:ascii="宋体" w:hAnsi="宋体" w:eastAsia="宋体" w:cs="Arial"/>
                <w:b/>
                <w:bCs/>
                <w:kern w:val="2"/>
                <w:sz w:val="21"/>
                <w:szCs w:val="21"/>
                <w:lang w:val="en-US" w:eastAsia="zh-CN" w:bidi="ar-SA"/>
              </w:rPr>
              <w:t>(4)费用承担：</w:t>
            </w:r>
            <w:r>
              <w:rPr>
                <w:rFonts w:hint="default" w:ascii="宋体" w:hAnsi="宋体" w:eastAsia="宋体" w:cs="Arial"/>
                <w:b w:val="0"/>
                <w:bCs w:val="0"/>
                <w:kern w:val="2"/>
                <w:sz w:val="21"/>
                <w:szCs w:val="21"/>
                <w:lang w:val="en-US" w:eastAsia="zh-CN" w:bidi="ar-SA"/>
              </w:rPr>
              <w:t>投标人参与本次投标活动所产生的全部费用（含样品制作费、运输费、装卸费等相关费用），均由投标人自行承担。</w:t>
            </w:r>
          </w:p>
          <w:p w14:paraId="13DF9F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宋体" w:hAnsi="宋体" w:eastAsia="宋体" w:cs="Arial"/>
                <w:b w:val="0"/>
                <w:bCs w:val="0"/>
                <w:kern w:val="2"/>
                <w:sz w:val="21"/>
                <w:szCs w:val="21"/>
                <w:lang w:val="en-US" w:eastAsia="zh-CN" w:bidi="ar-SA"/>
              </w:rPr>
            </w:pPr>
            <w:r>
              <w:rPr>
                <w:rFonts w:hint="default" w:ascii="宋体" w:hAnsi="宋体" w:eastAsia="宋体" w:cs="Arial"/>
                <w:b/>
                <w:bCs/>
                <w:kern w:val="2"/>
                <w:sz w:val="21"/>
                <w:szCs w:val="21"/>
                <w:lang w:val="en-US" w:eastAsia="zh-CN" w:bidi="ar-SA"/>
              </w:rPr>
              <w:t>(5) 样品规格与盲样要求：</w:t>
            </w:r>
            <w:r>
              <w:rPr>
                <w:rFonts w:hint="default" w:ascii="宋体" w:hAnsi="宋体" w:eastAsia="宋体" w:cs="Arial"/>
                <w:b w:val="0"/>
                <w:bCs w:val="0"/>
                <w:kern w:val="2"/>
                <w:sz w:val="21"/>
                <w:szCs w:val="21"/>
                <w:lang w:val="en-US" w:eastAsia="zh-CN" w:bidi="ar-SA"/>
              </w:rPr>
              <w:t>投标人须提供</w:t>
            </w:r>
            <w:r>
              <w:rPr>
                <w:rFonts w:hint="eastAsia" w:ascii="宋体" w:hAnsi="宋体" w:eastAsia="宋体" w:cs="Arial"/>
                <w:b w:val="0"/>
                <w:bCs w:val="0"/>
                <w:kern w:val="2"/>
                <w:sz w:val="21"/>
                <w:szCs w:val="21"/>
                <w:lang w:val="en-US" w:eastAsia="zh-CN" w:bidi="ar-SA"/>
              </w:rPr>
              <w:t>上述全套校</w:t>
            </w:r>
            <w:r>
              <w:rPr>
                <w:rFonts w:hint="default" w:ascii="宋体" w:hAnsi="宋体" w:eastAsia="宋体" w:cs="Arial"/>
                <w:b w:val="0"/>
                <w:bCs w:val="0"/>
                <w:kern w:val="2"/>
                <w:sz w:val="21"/>
                <w:szCs w:val="21"/>
                <w:lang w:val="en-US" w:eastAsia="zh-CN" w:bidi="ar-SA"/>
              </w:rPr>
              <w:t>服样品及1</w:t>
            </w:r>
            <w:r>
              <w:rPr>
                <w:rFonts w:hint="eastAsia" w:ascii="宋体" w:hAnsi="宋体" w:eastAsia="宋体" w:cs="Arial"/>
                <w:b w:val="0"/>
                <w:bCs w:val="0"/>
                <w:kern w:val="2"/>
                <w:sz w:val="21"/>
                <w:szCs w:val="21"/>
                <w:lang w:val="en-US" w:eastAsia="zh-CN" w:bidi="ar-SA"/>
              </w:rPr>
              <w:t>副</w:t>
            </w:r>
            <w:r>
              <w:rPr>
                <w:rFonts w:hint="default" w:ascii="宋体" w:hAnsi="宋体" w:eastAsia="宋体" w:cs="Arial"/>
                <w:b w:val="0"/>
                <w:bCs w:val="0"/>
                <w:kern w:val="2"/>
                <w:sz w:val="21"/>
                <w:szCs w:val="21"/>
                <w:lang w:val="en-US" w:eastAsia="zh-CN" w:bidi="ar-SA"/>
              </w:rPr>
              <w:t>用于悬挂样品的站立衣架。样品除胸前印花logo外，其余所有配件须全部配备齐全，方可参与本次评审。本项目样品实行盲样评审，所有样品、衣架及相关载体严禁标注、附带任何与投标人相关的名称、标识、商标及其他可识别投标人身份的信息，一经发现，该样品直接按无效样品处理。</w:t>
            </w:r>
          </w:p>
          <w:p w14:paraId="585146CF">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Times New Roman" w:hAnsi="Times New Roman" w:eastAsia="宋体" w:cs="Times New Roman"/>
                <w:kern w:val="2"/>
                <w:sz w:val="21"/>
                <w:szCs w:val="24"/>
                <w:lang w:val="en-US" w:eastAsia="zh-CN" w:bidi="ar-SA"/>
              </w:rPr>
            </w:pPr>
            <w:r>
              <w:rPr>
                <w:rFonts w:hint="default" w:ascii="宋体" w:hAnsi="宋体" w:eastAsia="宋体" w:cs="Arial"/>
                <w:b/>
                <w:bCs/>
                <w:kern w:val="2"/>
                <w:sz w:val="21"/>
                <w:szCs w:val="21"/>
                <w:lang w:val="en-US" w:eastAsia="zh-CN" w:bidi="ar-SA"/>
              </w:rPr>
              <w:t>(6)样品封样与验收标准：</w:t>
            </w:r>
            <w:r>
              <w:rPr>
                <w:rFonts w:hint="default" w:ascii="宋体" w:hAnsi="宋体" w:eastAsia="宋体" w:cs="Arial"/>
                <w:b w:val="0"/>
                <w:bCs w:val="0"/>
                <w:kern w:val="2"/>
                <w:sz w:val="21"/>
                <w:szCs w:val="21"/>
                <w:lang w:val="en-US" w:eastAsia="zh-CN" w:bidi="ar-SA"/>
              </w:rPr>
              <w:t>中标公告发布后，成交供应商的投标样品将由采购代理机构与采购人共同进行封样处理。该封样样品将作为后续批量交货验收的质量、规格、颜色等指标的唯一标准，以此确保供货产品与投标响应标准保持一致。</w:t>
            </w:r>
          </w:p>
        </w:tc>
      </w:tr>
    </w:tbl>
    <w:p w14:paraId="741C8264">
      <w:pPr>
        <w:rPr>
          <w:rFonts w:hint="eastAsia" w:ascii="宋体" w:hAnsi="宋体" w:eastAsia="宋体" w:cs="宋体"/>
          <w:b/>
          <w:bCs/>
          <w:sz w:val="21"/>
          <w:szCs w:val="21"/>
          <w:lang w:val="en-US" w:eastAsia="zh-CN" w:bidi="ar-SA"/>
        </w:rPr>
      </w:pPr>
    </w:p>
    <w:p w14:paraId="480389C5">
      <w:pPr>
        <w:rPr>
          <w:rFonts w:hint="eastAsia" w:ascii="宋体" w:hAnsi="宋体" w:eastAsia="宋体" w:cs="宋体"/>
          <w:b/>
          <w:bCs/>
          <w:sz w:val="21"/>
          <w:szCs w:val="21"/>
          <w:lang w:val="en-US" w:eastAsia="zh-CN" w:bidi="ar-SA"/>
        </w:rPr>
      </w:pPr>
    </w:p>
    <w:p w14:paraId="4216C6E1">
      <w:pPr>
        <w:rPr>
          <w:rFonts w:hint="eastAsia" w:ascii="宋体" w:hAnsi="宋体" w:eastAsia="宋体" w:cs="宋体"/>
          <w:b/>
          <w:bCs/>
          <w:sz w:val="21"/>
          <w:szCs w:val="21"/>
          <w:lang w:val="en-US" w:eastAsia="zh-CN" w:bidi="ar-SA"/>
        </w:rPr>
      </w:pPr>
    </w:p>
    <w:p w14:paraId="6171CCDD">
      <w:pPr>
        <w:rPr>
          <w:rFonts w:hint="eastAsia" w:ascii="宋体" w:hAnsi="宋体" w:eastAsia="宋体" w:cs="宋体"/>
          <w:b/>
          <w:bCs/>
          <w:sz w:val="21"/>
          <w:szCs w:val="21"/>
          <w:lang w:val="en-US" w:eastAsia="zh-CN" w:bidi="ar-SA"/>
        </w:rPr>
      </w:pPr>
    </w:p>
    <w:p w14:paraId="3D0A2BE2">
      <w:pPr>
        <w:rPr>
          <w:rFonts w:hint="eastAsia" w:ascii="宋体" w:hAnsi="宋体" w:eastAsia="宋体" w:cs="宋体"/>
          <w:b/>
          <w:bCs/>
          <w:sz w:val="21"/>
          <w:szCs w:val="21"/>
          <w:lang w:val="en-US" w:eastAsia="zh-CN" w:bidi="ar-SA"/>
        </w:rPr>
      </w:pPr>
    </w:p>
    <w:p w14:paraId="5870B751">
      <w:pPr>
        <w:rPr>
          <w:rFonts w:hint="eastAsia" w:ascii="宋体" w:hAnsi="宋体" w:eastAsia="宋体" w:cs="宋体"/>
          <w:b/>
          <w:bCs/>
          <w:sz w:val="21"/>
          <w:szCs w:val="21"/>
          <w:lang w:val="en-US" w:eastAsia="zh-CN" w:bidi="ar-SA"/>
        </w:rPr>
      </w:pPr>
    </w:p>
    <w:p w14:paraId="0C902F09">
      <w:pPr>
        <w:rPr>
          <w:rFonts w:hint="eastAsia" w:ascii="宋体" w:hAnsi="宋体" w:eastAsia="宋体" w:cs="宋体"/>
          <w:b/>
          <w:bCs/>
          <w:sz w:val="21"/>
          <w:szCs w:val="21"/>
          <w:lang w:val="en-US" w:eastAsia="zh-CN" w:bidi="ar-SA"/>
        </w:rPr>
      </w:pPr>
    </w:p>
    <w:p w14:paraId="75DB5544">
      <w:pPr>
        <w:rPr>
          <w:rFonts w:hint="eastAsia" w:ascii="宋体" w:hAnsi="宋体" w:eastAsia="宋体" w:cs="宋体"/>
          <w:b/>
          <w:bCs/>
          <w:sz w:val="21"/>
          <w:szCs w:val="21"/>
          <w:lang w:val="en-US" w:eastAsia="zh-CN" w:bidi="ar-SA"/>
        </w:rPr>
      </w:pPr>
    </w:p>
    <w:p w14:paraId="48566F24">
      <w:pPr>
        <w:rPr>
          <w:rFonts w:hint="eastAsia" w:ascii="宋体" w:hAnsi="宋体" w:eastAsia="宋体" w:cs="宋体"/>
          <w:b/>
          <w:bCs/>
          <w:sz w:val="21"/>
          <w:szCs w:val="21"/>
          <w:lang w:val="en-US" w:eastAsia="zh-CN" w:bidi="ar-SA"/>
        </w:rPr>
      </w:pPr>
    </w:p>
    <w:p w14:paraId="2F4C80FA">
      <w:pPr>
        <w:rPr>
          <w:rFonts w:hint="eastAsia" w:ascii="宋体" w:hAnsi="宋体" w:eastAsia="宋体" w:cs="宋体"/>
          <w:b/>
          <w:bCs/>
          <w:sz w:val="21"/>
          <w:szCs w:val="21"/>
          <w:lang w:val="en-US" w:eastAsia="zh-CN" w:bidi="ar-SA"/>
        </w:rPr>
      </w:pPr>
    </w:p>
    <w:p w14:paraId="2FB91E4B">
      <w:pPr>
        <w:rPr>
          <w:rFonts w:hint="eastAsia" w:ascii="宋体" w:hAnsi="宋体" w:eastAsia="宋体" w:cs="宋体"/>
          <w:b/>
          <w:bCs/>
          <w:sz w:val="21"/>
          <w:szCs w:val="21"/>
          <w:lang w:val="en-US" w:eastAsia="zh-CN" w:bidi="ar-SA"/>
        </w:rPr>
      </w:pPr>
    </w:p>
    <w:p w14:paraId="12E6CDB9">
      <w:pPr>
        <w:rPr>
          <w:rFonts w:hint="eastAsia" w:ascii="宋体" w:hAnsi="宋体" w:eastAsia="宋体" w:cs="宋体"/>
          <w:b/>
          <w:bCs/>
          <w:sz w:val="21"/>
          <w:szCs w:val="21"/>
          <w:lang w:val="en-US" w:eastAsia="zh-CN" w:bidi="ar-SA"/>
        </w:rPr>
      </w:pPr>
    </w:p>
    <w:p w14:paraId="3DEFC600">
      <w:pPr>
        <w:rPr>
          <w:rFonts w:hint="eastAsia" w:ascii="宋体" w:hAnsi="宋体" w:eastAsia="宋体" w:cs="宋体"/>
          <w:b/>
          <w:bCs/>
          <w:sz w:val="21"/>
          <w:szCs w:val="21"/>
          <w:lang w:val="en-US" w:eastAsia="zh-CN" w:bidi="ar-SA"/>
        </w:rPr>
      </w:pPr>
    </w:p>
    <w:p w14:paraId="28B442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FF0000"/>
          <w:sz w:val="21"/>
          <w:szCs w:val="24"/>
          <w:lang w:val="en-US" w:eastAsia="zh-CN" w:bidi="ar-SA"/>
        </w:rPr>
      </w:pPr>
      <w:r>
        <w:rPr>
          <w:rFonts w:hint="eastAsia" w:ascii="宋体" w:hAnsi="宋体" w:eastAsia="宋体" w:cs="宋体"/>
          <w:b/>
          <w:bCs/>
          <w:color w:val="FF0000"/>
          <w:sz w:val="21"/>
          <w:szCs w:val="21"/>
          <w:lang w:val="en-US" w:eastAsia="zh-CN" w:bidi="ar-SA"/>
        </w:rPr>
        <w:t>附表：</w:t>
      </w:r>
      <w:r>
        <w:rPr>
          <w:rFonts w:hint="eastAsia" w:ascii="Times New Roman" w:hAnsi="Times New Roman" w:eastAsia="宋体" w:cs="Times New Roman"/>
          <w:b/>
          <w:bCs/>
          <w:color w:val="FF0000"/>
          <w:sz w:val="21"/>
          <w:szCs w:val="24"/>
          <w:lang w:val="en-US" w:eastAsia="zh-CN" w:bidi="ar-SA"/>
        </w:rPr>
        <w:t>采购清单</w:t>
      </w:r>
    </w:p>
    <w:p w14:paraId="7FB275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FF0000"/>
          <w:sz w:val="21"/>
          <w:szCs w:val="24"/>
          <w:highlight w:val="none"/>
          <w:lang w:val="en-US" w:eastAsia="zh-CN" w:bidi="ar-SA"/>
        </w:rPr>
      </w:pPr>
      <w:r>
        <w:rPr>
          <w:rFonts w:hint="eastAsia" w:ascii="Times New Roman" w:hAnsi="Times New Roman" w:eastAsia="宋体" w:cs="Times New Roman"/>
          <w:b/>
          <w:bCs/>
          <w:color w:val="FF0000"/>
          <w:sz w:val="21"/>
          <w:szCs w:val="24"/>
          <w:lang w:val="en-US" w:eastAsia="zh-CN" w:bidi="ar-SA"/>
        </w:rPr>
        <w:t>校服样式和面料要求，详见下图。</w:t>
      </w:r>
      <w:r>
        <w:rPr>
          <w:rFonts w:hint="eastAsia" w:ascii="Times New Roman" w:hAnsi="Times New Roman" w:eastAsia="宋体" w:cs="Times New Roman"/>
          <w:b/>
          <w:bCs/>
          <w:color w:val="FF0000"/>
          <w:sz w:val="21"/>
          <w:szCs w:val="24"/>
          <w:highlight w:val="none"/>
          <w:lang w:val="en-US" w:eastAsia="zh-CN" w:bidi="ar-SA"/>
        </w:rPr>
        <w:t>面料成分参数值允许±5%的偏离。任一项用料参数偏离＞±5%为无效投标。</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878"/>
        <w:gridCol w:w="1842"/>
        <w:gridCol w:w="1780"/>
        <w:gridCol w:w="2045"/>
        <w:gridCol w:w="1245"/>
      </w:tblGrid>
      <w:tr w14:paraId="27B5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32" w:type="dxa"/>
            <w:noWrap w:val="0"/>
            <w:vAlign w:val="center"/>
          </w:tcPr>
          <w:p w14:paraId="056395C4">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序号</w:t>
            </w:r>
          </w:p>
        </w:tc>
        <w:tc>
          <w:tcPr>
            <w:tcW w:w="878" w:type="dxa"/>
            <w:noWrap w:val="0"/>
            <w:vAlign w:val="center"/>
          </w:tcPr>
          <w:p w14:paraId="3AE7EF40">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品名</w:t>
            </w:r>
          </w:p>
        </w:tc>
        <w:tc>
          <w:tcPr>
            <w:tcW w:w="1842" w:type="dxa"/>
            <w:noWrap w:val="0"/>
            <w:vAlign w:val="center"/>
          </w:tcPr>
          <w:p w14:paraId="257CF7B9">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款式</w:t>
            </w:r>
          </w:p>
        </w:tc>
        <w:tc>
          <w:tcPr>
            <w:tcW w:w="1780" w:type="dxa"/>
            <w:noWrap w:val="0"/>
            <w:vAlign w:val="center"/>
          </w:tcPr>
          <w:p w14:paraId="5DF09CE6">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kern w:val="2"/>
                <w:sz w:val="21"/>
                <w:szCs w:val="21"/>
                <w:vertAlign w:val="baseline"/>
                <w:lang w:val="en-US" w:eastAsia="zh-CN" w:bidi="ar-SA"/>
              </w:rPr>
              <w:t>面料成分</w:t>
            </w:r>
            <w:r>
              <w:rPr>
                <w:rFonts w:hint="eastAsia" w:ascii="宋体" w:hAnsi="宋体" w:eastAsia="宋体" w:cs="宋体"/>
                <w:b w:val="0"/>
                <w:bCs w:val="0"/>
                <w:color w:val="000000"/>
                <w:sz w:val="21"/>
                <w:szCs w:val="21"/>
                <w:vertAlign w:val="baseline"/>
                <w:lang w:val="en-US" w:eastAsia="zh-CN"/>
              </w:rPr>
              <w:t>说明</w:t>
            </w:r>
          </w:p>
        </w:tc>
        <w:tc>
          <w:tcPr>
            <w:tcW w:w="2045" w:type="dxa"/>
            <w:noWrap w:val="0"/>
            <w:vAlign w:val="center"/>
          </w:tcPr>
          <w:p w14:paraId="682EC07F">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样式</w:t>
            </w:r>
          </w:p>
        </w:tc>
        <w:tc>
          <w:tcPr>
            <w:tcW w:w="1245" w:type="dxa"/>
            <w:noWrap w:val="0"/>
            <w:vAlign w:val="center"/>
          </w:tcPr>
          <w:p w14:paraId="35FA2C11">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最高限价</w:t>
            </w:r>
          </w:p>
        </w:tc>
      </w:tr>
      <w:tr w14:paraId="785B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732" w:type="dxa"/>
            <w:noWrap w:val="0"/>
            <w:vAlign w:val="center"/>
          </w:tcPr>
          <w:p w14:paraId="05C6318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1</w:t>
            </w:r>
          </w:p>
        </w:tc>
        <w:tc>
          <w:tcPr>
            <w:tcW w:w="878" w:type="dxa"/>
            <w:noWrap w:val="0"/>
            <w:vAlign w:val="center"/>
          </w:tcPr>
          <w:p w14:paraId="7556AFB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夏季</w:t>
            </w:r>
          </w:p>
          <w:p w14:paraId="69F2428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校服</w:t>
            </w:r>
          </w:p>
        </w:tc>
        <w:tc>
          <w:tcPr>
            <w:tcW w:w="1842" w:type="dxa"/>
            <w:noWrap w:val="0"/>
            <w:vAlign w:val="center"/>
          </w:tcPr>
          <w:p w14:paraId="43ACCF9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短袖T恤</w:t>
            </w:r>
          </w:p>
          <w:p w14:paraId="172C126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（男女同款）</w:t>
            </w:r>
          </w:p>
        </w:tc>
        <w:tc>
          <w:tcPr>
            <w:tcW w:w="1780" w:type="dxa"/>
            <w:noWrap w:val="0"/>
            <w:vAlign w:val="center"/>
          </w:tcPr>
          <w:p w14:paraId="44F5E7C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灰色拼藏青</w:t>
            </w:r>
          </w:p>
          <w:p w14:paraId="39B6257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（棉60%</w:t>
            </w:r>
          </w:p>
          <w:p w14:paraId="68E0370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聚酯纤维40%）</w:t>
            </w:r>
          </w:p>
        </w:tc>
        <w:tc>
          <w:tcPr>
            <w:tcW w:w="2045" w:type="dxa"/>
            <w:noWrap w:val="0"/>
            <w:vAlign w:val="top"/>
          </w:tcPr>
          <w:p w14:paraId="5F4555FA">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kern w:val="2"/>
                <w:sz w:val="21"/>
                <w:szCs w:val="21"/>
                <w:vertAlign w:val="baseline"/>
                <w:lang w:val="en-US" w:eastAsia="zh-CN" w:bidi="ar-SA"/>
              </w:rPr>
            </w:pPr>
            <w:r>
              <w:drawing>
                <wp:anchor distT="0" distB="0" distL="114300" distR="114300" simplePos="0" relativeHeight="251662336" behindDoc="1" locked="0" layoutInCell="1" allowOverlap="1">
                  <wp:simplePos x="0" y="0"/>
                  <wp:positionH relativeFrom="column">
                    <wp:posOffset>28575</wp:posOffset>
                  </wp:positionH>
                  <wp:positionV relativeFrom="paragraph">
                    <wp:posOffset>238125</wp:posOffset>
                  </wp:positionV>
                  <wp:extent cx="1114425" cy="876300"/>
                  <wp:effectExtent l="0" t="0" r="9525" b="0"/>
                  <wp:wrapTight wrapText="bothSides">
                    <wp:wrapPolygon>
                      <wp:start x="0" y="0"/>
                      <wp:lineTo x="0" y="21130"/>
                      <wp:lineTo x="21415" y="21130"/>
                      <wp:lineTo x="21415" y="0"/>
                      <wp:lineTo x="0" y="0"/>
                    </wp:wrapPolygon>
                  </wp:wrapTight>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4"/>
                          <a:stretch>
                            <a:fillRect/>
                          </a:stretch>
                        </pic:blipFill>
                        <pic:spPr>
                          <a:xfrm>
                            <a:off x="0" y="0"/>
                            <a:ext cx="1114425" cy="876300"/>
                          </a:xfrm>
                          <a:prstGeom prst="rect">
                            <a:avLst/>
                          </a:prstGeom>
                          <a:noFill/>
                          <a:ln>
                            <a:noFill/>
                          </a:ln>
                        </pic:spPr>
                      </pic:pic>
                    </a:graphicData>
                  </a:graphic>
                </wp:anchor>
              </w:drawing>
            </w:r>
          </w:p>
        </w:tc>
        <w:tc>
          <w:tcPr>
            <w:tcW w:w="1245" w:type="dxa"/>
            <w:noWrap w:val="0"/>
            <w:vAlign w:val="top"/>
          </w:tcPr>
          <w:p w14:paraId="6811D1A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7A69BE9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56F5996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50元/件</w:t>
            </w:r>
          </w:p>
        </w:tc>
      </w:tr>
      <w:tr w14:paraId="323A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732" w:type="dxa"/>
            <w:noWrap w:val="0"/>
            <w:vAlign w:val="center"/>
          </w:tcPr>
          <w:p w14:paraId="2F9E075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2</w:t>
            </w:r>
          </w:p>
        </w:tc>
        <w:tc>
          <w:tcPr>
            <w:tcW w:w="878" w:type="dxa"/>
            <w:noWrap w:val="0"/>
            <w:vAlign w:val="center"/>
          </w:tcPr>
          <w:p w14:paraId="53D0E0D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春秋</w:t>
            </w:r>
          </w:p>
          <w:p w14:paraId="6E2DC2E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校服</w:t>
            </w:r>
          </w:p>
        </w:tc>
        <w:tc>
          <w:tcPr>
            <w:tcW w:w="1842" w:type="dxa"/>
            <w:noWrap w:val="0"/>
            <w:vAlign w:val="center"/>
          </w:tcPr>
          <w:p w14:paraId="7FEC277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运动款长袖</w:t>
            </w:r>
          </w:p>
          <w:p w14:paraId="7CFE4ED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（男女同款）</w:t>
            </w:r>
          </w:p>
        </w:tc>
        <w:tc>
          <w:tcPr>
            <w:tcW w:w="1780" w:type="dxa"/>
            <w:noWrap w:val="0"/>
            <w:vAlign w:val="center"/>
          </w:tcPr>
          <w:p w14:paraId="44F846A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上衣藏青色拼白色（棉40%</w:t>
            </w:r>
          </w:p>
          <w:p w14:paraId="6E58B2E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聚酯纤维60%）</w:t>
            </w:r>
          </w:p>
        </w:tc>
        <w:tc>
          <w:tcPr>
            <w:tcW w:w="2045" w:type="dxa"/>
            <w:noWrap w:val="0"/>
            <w:vAlign w:val="top"/>
          </w:tcPr>
          <w:p w14:paraId="54A56154">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drawing>
                <wp:anchor distT="0" distB="0" distL="114300" distR="114300" simplePos="0" relativeHeight="251663360" behindDoc="0" locked="0" layoutInCell="1" allowOverlap="1">
                  <wp:simplePos x="0" y="0"/>
                  <wp:positionH relativeFrom="column">
                    <wp:posOffset>228600</wp:posOffset>
                  </wp:positionH>
                  <wp:positionV relativeFrom="paragraph">
                    <wp:posOffset>189865</wp:posOffset>
                  </wp:positionV>
                  <wp:extent cx="687070" cy="762000"/>
                  <wp:effectExtent l="0" t="0" r="17780" b="0"/>
                  <wp:wrapSquare wrapText="bothSides"/>
                  <wp:docPr id="3" name="图片 6" descr="6e31e07b58a95f49bc6e5ee942c2f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6e31e07b58a95f49bc6e5ee942c2f702"/>
                          <pic:cNvPicPr>
                            <a:picLocks noChangeAspect="1"/>
                          </pic:cNvPicPr>
                        </pic:nvPicPr>
                        <pic:blipFill>
                          <a:blip r:embed="rId5"/>
                          <a:srcRect t="11266" r="37672" b="19048"/>
                          <a:stretch>
                            <a:fillRect/>
                          </a:stretch>
                        </pic:blipFill>
                        <pic:spPr>
                          <a:xfrm>
                            <a:off x="0" y="0"/>
                            <a:ext cx="687070" cy="762000"/>
                          </a:xfrm>
                          <a:prstGeom prst="rect">
                            <a:avLst/>
                          </a:prstGeom>
                          <a:noFill/>
                          <a:ln>
                            <a:noFill/>
                          </a:ln>
                        </pic:spPr>
                      </pic:pic>
                    </a:graphicData>
                  </a:graphic>
                </wp:anchor>
              </w:drawing>
            </w:r>
          </w:p>
        </w:tc>
        <w:tc>
          <w:tcPr>
            <w:tcW w:w="1245" w:type="dxa"/>
            <w:noWrap w:val="0"/>
            <w:vAlign w:val="top"/>
          </w:tcPr>
          <w:p w14:paraId="6A340AB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04867E7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p>
          <w:p w14:paraId="7A75CCA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105元/件</w:t>
            </w:r>
          </w:p>
        </w:tc>
      </w:tr>
      <w:tr w14:paraId="2EAE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732" w:type="dxa"/>
            <w:noWrap w:val="0"/>
            <w:vAlign w:val="center"/>
          </w:tcPr>
          <w:p w14:paraId="5FDD574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3</w:t>
            </w:r>
          </w:p>
        </w:tc>
        <w:tc>
          <w:tcPr>
            <w:tcW w:w="878" w:type="dxa"/>
            <w:noWrap w:val="0"/>
            <w:vAlign w:val="center"/>
          </w:tcPr>
          <w:p w14:paraId="7F27B64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春秋</w:t>
            </w:r>
          </w:p>
          <w:p w14:paraId="573FB57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校服</w:t>
            </w:r>
          </w:p>
        </w:tc>
        <w:tc>
          <w:tcPr>
            <w:tcW w:w="1842" w:type="dxa"/>
            <w:noWrap w:val="0"/>
            <w:vAlign w:val="center"/>
          </w:tcPr>
          <w:p w14:paraId="46EFE86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运动款长裤</w:t>
            </w:r>
          </w:p>
          <w:p w14:paraId="2126D49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（男女同款）</w:t>
            </w:r>
          </w:p>
        </w:tc>
        <w:tc>
          <w:tcPr>
            <w:tcW w:w="1780" w:type="dxa"/>
            <w:noWrap w:val="0"/>
            <w:vAlign w:val="center"/>
          </w:tcPr>
          <w:p w14:paraId="7081BBF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裤子藏青色</w:t>
            </w:r>
          </w:p>
          <w:p w14:paraId="27BE42F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（棉40%</w:t>
            </w:r>
          </w:p>
          <w:p w14:paraId="06D55D7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聚酯纤维60%）</w:t>
            </w:r>
          </w:p>
        </w:tc>
        <w:tc>
          <w:tcPr>
            <w:tcW w:w="2045" w:type="dxa"/>
            <w:noWrap w:val="0"/>
            <w:vAlign w:val="top"/>
          </w:tcPr>
          <w:p w14:paraId="3E62227D">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drawing>
                <wp:anchor distT="0" distB="0" distL="114300" distR="114300" simplePos="0" relativeHeight="251664384" behindDoc="1" locked="0" layoutInCell="1" allowOverlap="1">
                  <wp:simplePos x="0" y="0"/>
                  <wp:positionH relativeFrom="column">
                    <wp:posOffset>390525</wp:posOffset>
                  </wp:positionH>
                  <wp:positionV relativeFrom="paragraph">
                    <wp:posOffset>6985</wp:posOffset>
                  </wp:positionV>
                  <wp:extent cx="390525" cy="909320"/>
                  <wp:effectExtent l="0" t="0" r="9525" b="5080"/>
                  <wp:wrapTight wrapText="bothSides">
                    <wp:wrapPolygon>
                      <wp:start x="0" y="0"/>
                      <wp:lineTo x="0" y="21268"/>
                      <wp:lineTo x="20371" y="21268"/>
                      <wp:lineTo x="20371" y="0"/>
                      <wp:lineTo x="0" y="0"/>
                    </wp:wrapPolygon>
                  </wp:wrapTight>
                  <wp:docPr id="2" name="图片 7" descr="6e31e07b58a95f49bc6e5ee942c2f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6e31e07b58a95f49bc6e5ee942c2f702"/>
                          <pic:cNvPicPr>
                            <a:picLocks noChangeAspect="1"/>
                          </pic:cNvPicPr>
                        </pic:nvPicPr>
                        <pic:blipFill>
                          <a:blip r:embed="rId5"/>
                          <a:srcRect l="63191" t="6969" r="1382" b="9872"/>
                          <a:stretch>
                            <a:fillRect/>
                          </a:stretch>
                        </pic:blipFill>
                        <pic:spPr>
                          <a:xfrm>
                            <a:off x="0" y="0"/>
                            <a:ext cx="390525" cy="909320"/>
                          </a:xfrm>
                          <a:prstGeom prst="rect">
                            <a:avLst/>
                          </a:prstGeom>
                          <a:noFill/>
                          <a:ln>
                            <a:noFill/>
                          </a:ln>
                        </pic:spPr>
                      </pic:pic>
                    </a:graphicData>
                  </a:graphic>
                </wp:anchor>
              </w:drawing>
            </w:r>
          </w:p>
        </w:tc>
        <w:tc>
          <w:tcPr>
            <w:tcW w:w="1245" w:type="dxa"/>
            <w:noWrap w:val="0"/>
            <w:vAlign w:val="center"/>
          </w:tcPr>
          <w:p w14:paraId="522C71FC">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kern w:val="2"/>
                <w:sz w:val="21"/>
                <w:szCs w:val="21"/>
                <w:vertAlign w:val="baseline"/>
                <w:lang w:val="en-US" w:eastAsia="zh-CN" w:bidi="ar-SA"/>
              </w:rPr>
            </w:pPr>
            <w:r>
              <w:rPr>
                <w:rFonts w:hint="eastAsia" w:ascii="宋体" w:hAnsi="宋体" w:eastAsia="宋体" w:cs="宋体"/>
                <w:b w:val="0"/>
                <w:bCs w:val="0"/>
                <w:color w:val="000000"/>
                <w:sz w:val="21"/>
                <w:szCs w:val="21"/>
                <w:vertAlign w:val="baseline"/>
                <w:lang w:val="en-US" w:eastAsia="zh-CN"/>
              </w:rPr>
              <w:t>55元/件</w:t>
            </w:r>
          </w:p>
        </w:tc>
      </w:tr>
      <w:tr w14:paraId="6946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8522" w:type="dxa"/>
            <w:gridSpan w:val="6"/>
            <w:noWrap w:val="0"/>
            <w:vAlign w:val="top"/>
          </w:tcPr>
          <w:p w14:paraId="41754D46">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1.投标人根据招标文件中提供的校服样式进行打样制作；投标人所有供货的成衣必须是一等合格产品，所有面料及配件的成分及各项指标均符合招标文件要求和国家相关标准要求，质量执行标准包含但不仅限于：</w:t>
            </w:r>
          </w:p>
          <w:p w14:paraId="20FC2653">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（1）《国家纺织产品基本安全技术规范》（GB 18401-2010）；</w:t>
            </w:r>
          </w:p>
          <w:p w14:paraId="4AA4952B">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（2）《婴幼儿及儿童纺织产品安全技术规范》（GB 31701-2015）（B类）；</w:t>
            </w:r>
          </w:p>
          <w:p w14:paraId="18365BF8">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（3）《中小学生校服》（GB/T 31888-2015）；</w:t>
            </w:r>
          </w:p>
          <w:p w14:paraId="7D2D4ACA">
            <w:pPr>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（4）其他与中小学校服有关的国家或行业标准。</w:t>
            </w:r>
          </w:p>
          <w:p w14:paraId="3C344D13">
            <w:pPr>
              <w:keepNext w:val="0"/>
              <w:keepLines w:val="0"/>
              <w:pageBreakBefore w:val="0"/>
              <w:widowControl w:val="0"/>
              <w:kinsoku/>
              <w:wordWrap w:val="0"/>
              <w:overflowPunct/>
              <w:topLinePunct w:val="0"/>
              <w:autoSpaceDE/>
              <w:autoSpaceDN/>
              <w:bidi w:val="0"/>
              <w:adjustRightInd/>
              <w:snapToGrid/>
              <w:spacing w:line="360" w:lineRule="exact"/>
              <w:jc w:val="both"/>
              <w:textAlignment w:val="auto"/>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bCs/>
                <w:color w:val="FF0000"/>
                <w:kern w:val="2"/>
                <w:sz w:val="24"/>
                <w:szCs w:val="24"/>
                <w:highlight w:val="none"/>
                <w:lang w:val="en-US" w:eastAsia="zh-CN" w:bidi="ar-SA"/>
              </w:rPr>
              <w:t>2.校服生产和销售实行“明标识”制度，要具备齐全的成衣合格标识；</w:t>
            </w:r>
            <w:r>
              <w:rPr>
                <w:rFonts w:hint="eastAsia" w:ascii="Segoe UI Emoji" w:hAnsi="Segoe UI Emoji" w:eastAsia="宋体" w:cs="Segoe UI Emoji"/>
                <w:b/>
                <w:bCs/>
                <w:i w:val="0"/>
                <w:iCs w:val="0"/>
                <w:caps w:val="0"/>
                <w:color w:val="FF0000"/>
                <w:spacing w:val="0"/>
                <w:kern w:val="2"/>
                <w:sz w:val="24"/>
                <w:szCs w:val="24"/>
                <w:shd w:val="clear" w:color="auto" w:fill="FFFFFF"/>
                <w:lang w:val="en-US" w:eastAsia="zh-CN" w:bidi="ar-SA"/>
              </w:rPr>
              <w:t>中标后交付校服前中标人须</w:t>
            </w:r>
            <w:r>
              <w:rPr>
                <w:rFonts w:ascii="Segoe UI Emoji" w:hAnsi="Segoe UI Emoji" w:eastAsia="Segoe UI Emoji" w:cs="Segoe UI Emoji"/>
                <w:b/>
                <w:bCs/>
                <w:i w:val="0"/>
                <w:iCs w:val="0"/>
                <w:caps w:val="0"/>
                <w:color w:val="FF0000"/>
                <w:spacing w:val="0"/>
                <w:kern w:val="2"/>
                <w:sz w:val="24"/>
                <w:szCs w:val="24"/>
                <w:shd w:val="clear" w:color="auto" w:fill="FFFFFF"/>
                <w:lang w:val="en-US" w:eastAsia="zh-CN" w:bidi="ar-SA"/>
              </w:rPr>
              <w:t>提供</w:t>
            </w:r>
            <w:r>
              <w:rPr>
                <w:rFonts w:hint="eastAsia" w:ascii="Segoe UI Emoji" w:hAnsi="Segoe UI Emoji" w:eastAsia="Segoe UI Emoji" w:cs="Segoe UI Emoji"/>
                <w:b/>
                <w:bCs/>
                <w:i w:val="0"/>
                <w:iCs w:val="0"/>
                <w:caps w:val="0"/>
                <w:color w:val="FF0000"/>
                <w:spacing w:val="0"/>
                <w:kern w:val="2"/>
                <w:sz w:val="24"/>
                <w:szCs w:val="24"/>
                <w:shd w:val="clear" w:color="auto" w:fill="FFFFFF"/>
                <w:lang w:val="en-US" w:eastAsia="zh-CN" w:bidi="ar-SA"/>
              </w:rPr>
              <w:t>法定检验机构出具的本批次成衣质量检验合格报告</w:t>
            </w:r>
            <w:r>
              <w:rPr>
                <w:rFonts w:ascii="Segoe UI Emoji" w:hAnsi="Segoe UI Emoji" w:eastAsia="Segoe UI Emoji" w:cs="Segoe UI Emoji"/>
                <w:b/>
                <w:bCs/>
                <w:i w:val="0"/>
                <w:iCs w:val="0"/>
                <w:caps w:val="0"/>
                <w:color w:val="FF0000"/>
                <w:spacing w:val="0"/>
                <w:kern w:val="2"/>
                <w:sz w:val="24"/>
                <w:szCs w:val="24"/>
                <w:shd w:val="clear" w:color="auto" w:fill="FFFFFF"/>
                <w:lang w:val="en-US" w:eastAsia="zh-CN" w:bidi="ar-SA"/>
              </w:rPr>
              <w:t>，报告内容须覆盖本项目采购标的的全部技术参数及</w:t>
            </w:r>
            <w:r>
              <w:rPr>
                <w:rFonts w:hint="eastAsia" w:ascii="Segoe UI Emoji" w:hAnsi="Segoe UI Emoji" w:eastAsia="宋体" w:cs="Segoe UI Emoji"/>
                <w:b/>
                <w:bCs/>
                <w:i w:val="0"/>
                <w:iCs w:val="0"/>
                <w:caps w:val="0"/>
                <w:color w:val="FF0000"/>
                <w:spacing w:val="0"/>
                <w:kern w:val="2"/>
                <w:sz w:val="24"/>
                <w:szCs w:val="24"/>
                <w:shd w:val="clear" w:color="auto" w:fill="FFFFFF"/>
                <w:lang w:val="en-US" w:eastAsia="zh-CN" w:bidi="ar-SA"/>
              </w:rPr>
              <w:t>上述</w:t>
            </w:r>
            <w:r>
              <w:rPr>
                <w:rFonts w:ascii="Segoe UI Emoji" w:hAnsi="Segoe UI Emoji" w:eastAsia="Segoe UI Emoji" w:cs="Segoe UI Emoji"/>
                <w:b/>
                <w:bCs/>
                <w:i w:val="0"/>
                <w:iCs w:val="0"/>
                <w:caps w:val="0"/>
                <w:color w:val="FF0000"/>
                <w:spacing w:val="0"/>
                <w:kern w:val="2"/>
                <w:sz w:val="24"/>
                <w:szCs w:val="24"/>
                <w:shd w:val="clear" w:color="auto" w:fill="FFFFFF"/>
                <w:lang w:val="en-US" w:eastAsia="zh-CN" w:bidi="ar-SA"/>
              </w:rPr>
              <w:t>质量指标</w:t>
            </w:r>
            <w:r>
              <w:rPr>
                <w:rFonts w:hint="eastAsia" w:ascii="宋体" w:hAnsi="宋体" w:eastAsia="宋体" w:cs="宋体"/>
                <w:b/>
                <w:bCs/>
                <w:color w:val="FF0000"/>
                <w:kern w:val="2"/>
                <w:sz w:val="24"/>
                <w:szCs w:val="24"/>
                <w:highlight w:val="none"/>
                <w:lang w:val="en-US" w:eastAsia="zh-CN" w:bidi="ar-SA"/>
              </w:rPr>
              <w:t>。</w:t>
            </w:r>
          </w:p>
        </w:tc>
      </w:tr>
    </w:tbl>
    <w:p w14:paraId="0BF1FA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FF0000"/>
          <w:sz w:val="21"/>
          <w:szCs w:val="24"/>
          <w:highlight w:val="none"/>
          <w:lang w:val="en-US" w:eastAsia="zh-CN" w:bidi="ar-SA"/>
        </w:rPr>
      </w:pPr>
    </w:p>
    <w:p w14:paraId="74956B7F">
      <w:pPr>
        <w:rPr>
          <w:rFonts w:ascii="Times New Roman" w:hAnsi="Times New Roman" w:eastAsia="宋体" w:cs="Times New Roman"/>
        </w:rPr>
      </w:pPr>
    </w:p>
    <w:p w14:paraId="0536462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90AB19"/>
    <w:multiLevelType w:val="singleLevel"/>
    <w:tmpl w:val="7F90AB1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024E48"/>
    <w:rsid w:val="73024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2026-10-15T04:02:00Z</dcterms:created>
  <dc:creator>刘婧怡</dc:creator>
  <cp:lastModifiedBy>刘婧怡</cp:lastModifiedBy>
  <dcterms:modified xsi:type="dcterms:W3CDTF">2026-10-15T04:02:26Z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020D9778B654420CA5DBC30C6FBC823D_11</vt:lpwstr>
  </property>
  <property fmtid="{D5CDD505-2E9C-101B-9397-08002B2CF9AE}" pid="4" name="KSOTemplateDocerSaveRecord">
    <vt:lpwstr>eyJoZGlkIjoiNGE5M2FiNjMwZjQ0MjY3Y2MxNDFkYjg1ODEwZDA2MGQiLCJ1c2VySWQiOiIyNTE0NjcyMDcifQ==</vt:lpwstr>
  </property>
</Properties>
</file>